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题目：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浅析</w:t>
      </w:r>
      <w:r>
        <w:rPr>
          <w:rtl w:val="0"/>
        </w:rPr>
        <w:t>EPC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模式下石化概算问题。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一、引言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二、</w:t>
      </w:r>
      <w:r>
        <w:rPr>
          <w:rtl w:val="0"/>
        </w:rPr>
        <w:t xml:space="preserve">EPC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模式下概算编制的要点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、材料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算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、选用正确的定额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、计算工程数量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三、概算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编制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问题分析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、设备材料费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、临时设施费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、概算编制深度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、特殊施工方案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、联合试运转费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四、提高概算编制的质量的措施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、加强对材料概算的管理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、加强对设计图纸质量的管理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、加强概算人员的素质建设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、充分利用现代化技术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五、总结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参考文献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