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项目概况与合同段划分说明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DOC-001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project_basis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project-context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source-doc-001</w:t>
            </w:r>
          </w:p>
        </w:tc>
      </w:tr>
    </w:tbl>
    <w:p>
      <w:pPr>
        <w:pStyle w:val="Heading1"/>
      </w:pPr>
      <w:r>
        <w:t>项目概况</w:t>
      </w:r>
    </w:p>
    <w:p>
      <w:r>
        <w:t>南江至东岭高速公路改扩建工程为既有双向四车道高速改扩建项目，试点范围为 JD-A1 土建施工合同段。</w:t>
      </w:r>
    </w:p>
    <w:p>
      <w:r>
        <w:t>本模拟资料包聚焦 K12+000-K18+500 路基清表、挖方、填筑及临时排水工程。</w:t>
      </w:r>
    </w:p>
    <w:p>
      <w:pPr>
        <w:pStyle w:val="Heading1"/>
      </w:pPr>
      <w:r>
        <w:t>合同段划分</w:t>
      </w:r>
    </w:p>
    <w:p>
      <w:r>
        <w:t>JD-A1 合同段由施工总承包单位负责组织实施，JL-01 监理合同段负责施工准备、开工条件、施工方案、质量安全和资料归档审查。</w:t>
      </w:r>
    </w:p>
    <w:p>
      <w:pPr>
        <w:pStyle w:val="Heading1"/>
      </w:pPr>
      <w:r>
        <w:t>知识库使用边界</w:t>
      </w:r>
    </w:p>
    <w:p>
      <w:r>
        <w:t>本项目知识库用于辅助召回依据、资料和风险点，不直接形成正式监理审批结论。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