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LJ-01 分包合同范围说明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DOC-007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subcontract_scope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opening-condition-lj01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source-doc-007</w:t>
            </w:r>
          </w:p>
        </w:tc>
      </w:tr>
    </w:tbl>
    <w:p>
      <w:pPr>
        <w:pStyle w:val="Heading1"/>
      </w:pPr>
      <w:r>
        <w:t>作业范围</w:t>
      </w:r>
    </w:p>
    <w:p>
      <w:r>
        <w:t>LJ-01 作业队承担 K12+000-K18+500 路基清表、挖方、填筑、便道维护和临时排水工程。</w:t>
      </w:r>
    </w:p>
    <w:p>
      <w:pPr>
        <w:pStyle w:val="Heading1"/>
      </w:pPr>
      <w:r>
        <w:t>接口边界</w:t>
      </w:r>
    </w:p>
    <w:p>
      <w:r>
        <w:t>桥梁下部结构、交安设施和永久排水结构不属于 LJ-01 第一阶段作业范围。</w:t>
      </w:r>
    </w:p>
    <w:p>
      <w:pPr>
        <w:pStyle w:val="Heading1"/>
      </w:pPr>
      <w:r>
        <w:t>监理关注点</w:t>
      </w:r>
    </w:p>
    <w:p>
      <w:r>
        <w:t>开工审查应避免将其他队伍的人员、设备或方案误召回到 LJ-01 审查结论中。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