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sz w:val="32"/>
        </w:rPr>
        <w:t>员工培训与发展制度</w:t>
      </w:r>
    </w:p>
    <w:p>
      <w:r>
        <w:t>文档编号：HR-TRN-005</w:t>
      </w:r>
    </w:p>
    <w:p>
      <w:r>
        <w:t>版本号：V1.0</w:t>
      </w:r>
    </w:p>
    <w:p>
      <w:r>
        <w:t>生效日期：2026-04-01</w:t>
      </w:r>
    </w:p>
    <w:p>
      <w:r>
        <w:t>适用范围：全体员工、部门负责人、人力资源部</w:t>
      </w:r>
    </w:p>
    <w:p>
      <w:r>
        <w:rPr>
          <w:rFonts w:ascii="黑体" w:hAnsi="黑体" w:eastAsia="黑体"/>
          <w:b/>
        </w:rPr>
        <w:t>一、制度目的</w:t>
      </w:r>
    </w:p>
    <w:p>
      <w:r>
        <w:t>为提升员工专业能力、管理能力与岗位胜任力，构建学习型组织，规范培训资源使用，特制定本制度。</w:t>
      </w:r>
    </w:p>
    <w:p>
      <w:r>
        <w:rPr>
          <w:rFonts w:ascii="黑体" w:hAnsi="黑体" w:eastAsia="黑体"/>
          <w:b/>
        </w:rPr>
        <w:t>二、培训分类</w:t>
      </w:r>
    </w:p>
    <w:p>
      <w:r>
        <w:t>培训分为新员工培训、岗位技能培训、管理能力培训和通用能力培训。</w:t>
      </w:r>
    </w:p>
    <w:p>
      <w:r>
        <w:rPr>
          <w:rFonts w:ascii="黑体" w:hAnsi="黑体" w:eastAsia="黑体"/>
          <w:b/>
        </w:rPr>
        <w:t>三、职责分工</w:t>
      </w:r>
    </w:p>
    <w:p>
      <w:r>
        <w:t>人力资源部负责年度培训计划编制、课程资源统筹与培训效果跟踪；各部门负责提报培训需求并组织员工参加。</w:t>
      </w:r>
    </w:p>
    <w:p>
      <w:r>
        <w:rPr>
          <w:rFonts w:ascii="黑体" w:hAnsi="黑体" w:eastAsia="黑体"/>
          <w:b/>
        </w:rPr>
        <w:t>四、培训实施</w:t>
      </w:r>
    </w:p>
    <w:p>
      <w:r>
        <w:t>新员工应在入职首月内完成基础制度培训；岗位培训由直属主管结合工作安排组织实施；重点项目可安排专项集训。</w:t>
      </w:r>
    </w:p>
    <w:p>
      <w:r>
        <w:rPr>
          <w:rFonts w:ascii="黑体" w:hAnsi="黑体" w:eastAsia="黑体"/>
          <w:b/>
        </w:rPr>
        <w:t>五、培训纪律</w:t>
      </w:r>
    </w:p>
    <w:p>
      <w:r>
        <w:t>员工应按时参加培训，不得无故缺席、迟到、早退或代签。确需请假的，应提前向培训组织方和直属主管说明情况。</w:t>
      </w:r>
    </w:p>
    <w:p>
      <w:r>
        <w:rPr>
          <w:rFonts w:ascii="黑体" w:hAnsi="黑体" w:eastAsia="黑体"/>
          <w:b/>
        </w:rPr>
        <w:t>六、效果评估</w:t>
      </w:r>
    </w:p>
    <w:p>
      <w:r>
        <w:t>培训结束后可通过签到记录、测验成绩、课程反馈、行为转化和绩效改进情况等方式进行综合评估。</w:t>
      </w:r>
    </w:p>
    <w:p>
      <w:r>
        <w:rPr>
          <w:rFonts w:ascii="黑体" w:hAnsi="黑体" w:eastAsia="黑体"/>
          <w:b/>
        </w:rPr>
        <w:t>七、附则</w:t>
      </w:r>
    </w:p>
    <w:p>
      <w:r>
        <w:t>本制度由人力资源部负责解释，并根据公司经营发展和制度更新情况定期修订。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