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9AFD4">
      <w:pPr>
        <w:spacing w:before="468" w:beforeLines="150" w:line="276" w:lineRule="auto"/>
        <w:jc w:val="center"/>
        <w:rPr>
          <w:rFonts w:ascii="黑体" w:hAnsi="黑体" w:eastAsia="黑体"/>
          <w:b/>
          <w:bCs/>
          <w:sz w:val="52"/>
        </w:rPr>
      </w:pPr>
      <w:r>
        <w:rPr>
          <w:sz w:val="20"/>
        </w:rPr>
        <w:drawing>
          <wp:anchor distT="0" distB="0" distL="114300" distR="114300" simplePos="0" relativeHeight="251660288" behindDoc="0" locked="0" layoutInCell="1" allowOverlap="1">
            <wp:simplePos x="0" y="0"/>
            <wp:positionH relativeFrom="margin">
              <wp:posOffset>1124585</wp:posOffset>
            </wp:positionH>
            <wp:positionV relativeFrom="paragraph">
              <wp:posOffset>152400</wp:posOffset>
            </wp:positionV>
            <wp:extent cx="3228975" cy="807085"/>
            <wp:effectExtent l="0" t="0" r="1905" b="635"/>
            <wp:wrapTopAndBottom/>
            <wp:docPr id="3" name="图片 2"/>
            <wp:cNvGraphicFramePr/>
            <a:graphic xmlns:a="http://schemas.openxmlformats.org/drawingml/2006/main">
              <a:graphicData uri="http://schemas.openxmlformats.org/drawingml/2006/picture">
                <pic:pic xmlns:pic="http://schemas.openxmlformats.org/drawingml/2006/picture">
                  <pic:nvPicPr>
                    <pic:cNvPr id="3" name="图片 2"/>
                    <pic:cNvPicPr/>
                  </pic:nvPicPr>
                  <pic:blipFill>
                    <a:blip r:embed="rId7">
                      <a:extLst>
                        <a:ext uri="{28A0092B-C50C-407E-A947-70E740481C1C}">
                          <a14:useLocalDpi xmlns:a14="http://schemas.microsoft.com/office/drawing/2010/main" val="0"/>
                        </a:ext>
                      </a:extLst>
                    </a:blip>
                    <a:srcRect/>
                    <a:stretch>
                      <a:fillRect/>
                    </a:stretch>
                  </pic:blipFill>
                  <pic:spPr>
                    <a:xfrm>
                      <a:off x="0" y="0"/>
                      <a:ext cx="3228975" cy="807085"/>
                    </a:xfrm>
                    <a:prstGeom prst="rect">
                      <a:avLst/>
                    </a:prstGeom>
                    <a:noFill/>
                    <a:ln>
                      <a:noFill/>
                    </a:ln>
                  </pic:spPr>
                </pic:pic>
              </a:graphicData>
            </a:graphic>
          </wp:anchor>
        </w:drawing>
      </w:r>
      <w:r>
        <w:rPr>
          <w:rFonts w:ascii="黑体" w:hAnsi="黑体" w:eastAsia="黑体"/>
          <w:b/>
          <w:bCs/>
          <w:sz w:val="52"/>
        </w:rPr>
        <w:t>《</w:t>
      </w:r>
      <w:r>
        <w:rPr>
          <w:rFonts w:hint="eastAsia" w:ascii="黑体" w:hAnsi="黑体" w:eastAsia="黑体"/>
          <w:b/>
          <w:bCs/>
          <w:sz w:val="52"/>
          <w:lang w:val="en-US" w:eastAsia="zh-CN"/>
        </w:rPr>
        <w:t>宪法学</w:t>
      </w:r>
      <w:r>
        <w:rPr>
          <w:rFonts w:hint="eastAsia" w:ascii="黑体" w:hAnsi="黑体" w:eastAsia="黑体"/>
          <w:b/>
          <w:bCs/>
          <w:sz w:val="52"/>
        </w:rPr>
        <w:t>》</w:t>
      </w:r>
    </w:p>
    <w:p w14:paraId="669223C7">
      <w:pPr>
        <w:spacing w:before="468" w:beforeLines="150" w:line="276" w:lineRule="auto"/>
        <w:jc w:val="center"/>
        <w:rPr>
          <w:rFonts w:hint="default" w:ascii="黑体" w:hAnsi="黑体" w:eastAsia="黑体"/>
          <w:b/>
          <w:bCs/>
          <w:sz w:val="52"/>
          <w:lang w:val="en-US" w:eastAsia="zh-CN"/>
        </w:rPr>
      </w:pPr>
      <w:r>
        <w:rPr>
          <w:rFonts w:hint="eastAsia" w:ascii="黑体" w:hAnsi="黑体" w:eastAsia="黑体"/>
          <w:b/>
          <w:bCs/>
          <w:sz w:val="52"/>
          <w:lang w:eastAsia="zh-CN"/>
        </w:rPr>
        <w:t>《</w:t>
      </w:r>
      <w:r>
        <w:rPr>
          <w:rFonts w:hint="eastAsia" w:ascii="黑体" w:hAnsi="黑体" w:eastAsia="黑体"/>
          <w:b/>
          <w:bCs/>
          <w:sz w:val="52"/>
          <w:lang w:val="en-US" w:eastAsia="zh-CN"/>
        </w:rPr>
        <w:t>法学方法论</w:t>
      </w:r>
      <w:r>
        <w:rPr>
          <w:rFonts w:hint="eastAsia" w:ascii="黑体" w:hAnsi="黑体" w:eastAsia="黑体"/>
          <w:b/>
          <w:bCs/>
          <w:sz w:val="52"/>
          <w:lang w:eastAsia="zh-CN"/>
        </w:rPr>
        <w:t>》</w:t>
      </w:r>
      <w:r>
        <w:rPr>
          <w:rFonts w:hint="eastAsia" w:ascii="黑体" w:hAnsi="黑体" w:eastAsia="黑体"/>
          <w:b/>
          <w:bCs/>
          <w:sz w:val="52"/>
          <w:lang w:val="en-US" w:eastAsia="zh-CN"/>
        </w:rPr>
        <w:t>读书报告</w:t>
      </w:r>
    </w:p>
    <w:p w14:paraId="4E75F12E">
      <w:pPr>
        <w:spacing w:line="276" w:lineRule="auto"/>
        <w:rPr>
          <w:rFonts w:ascii="黑体" w:hAnsi="黑体" w:eastAsia="黑体"/>
          <w:b/>
          <w:bCs/>
          <w:sz w:val="13"/>
        </w:rPr>
      </w:pPr>
      <w:r>
        <w:rPr>
          <w:rFonts w:ascii="黑体" w:hAnsi="黑体" w:eastAsia="黑体"/>
          <w:sz w:val="20"/>
        </w:rPr>
        <w:drawing>
          <wp:anchor distT="0" distB="0" distL="114300" distR="114300" simplePos="0" relativeHeight="251659264" behindDoc="0" locked="0" layoutInCell="1" allowOverlap="1">
            <wp:simplePos x="0" y="0"/>
            <wp:positionH relativeFrom="margin">
              <wp:posOffset>2072005</wp:posOffset>
            </wp:positionH>
            <wp:positionV relativeFrom="paragraph">
              <wp:posOffset>502285</wp:posOffset>
            </wp:positionV>
            <wp:extent cx="1823720" cy="1745615"/>
            <wp:effectExtent l="0" t="0" r="5080" b="6985"/>
            <wp:wrapTopAndBottom/>
            <wp:docPr id="2" name="图片 3"/>
            <wp:cNvGraphicFramePr/>
            <a:graphic xmlns:a="http://schemas.openxmlformats.org/drawingml/2006/main">
              <a:graphicData uri="http://schemas.openxmlformats.org/drawingml/2006/picture">
                <pic:pic xmlns:pic="http://schemas.openxmlformats.org/drawingml/2006/picture">
                  <pic:nvPicPr>
                    <pic:cNvPr id="2" name="图片 3"/>
                    <pic:cNvPicPr/>
                  </pic:nvPicPr>
                  <pic:blipFill>
                    <a:blip r:embed="rId8">
                      <a:extLst>
                        <a:ext uri="{28A0092B-C50C-407E-A947-70E740481C1C}">
                          <a14:useLocalDpi xmlns:a14="http://schemas.microsoft.com/office/drawing/2010/main" val="0"/>
                        </a:ext>
                      </a:extLst>
                    </a:blip>
                    <a:srcRect/>
                    <a:stretch>
                      <a:fillRect/>
                    </a:stretch>
                  </pic:blipFill>
                  <pic:spPr>
                    <a:xfrm>
                      <a:off x="0" y="0"/>
                      <a:ext cx="1823720" cy="1745615"/>
                    </a:xfrm>
                    <a:prstGeom prst="rect">
                      <a:avLst/>
                    </a:prstGeom>
                    <a:noFill/>
                    <a:ln>
                      <a:noFill/>
                    </a:ln>
                  </pic:spPr>
                </pic:pic>
              </a:graphicData>
            </a:graphic>
          </wp:anchor>
        </w:drawing>
      </w:r>
    </w:p>
    <w:p w14:paraId="5D6AB177">
      <w:pPr>
        <w:spacing w:line="276" w:lineRule="auto"/>
        <w:rPr>
          <w:b/>
          <w:bCs/>
          <w:sz w:val="44"/>
        </w:rPr>
      </w:pPr>
    </w:p>
    <w:tbl>
      <w:tblPr>
        <w:tblStyle w:val="8"/>
        <w:tblW w:w="0" w:type="auto"/>
        <w:jc w:val="center"/>
        <w:tblLayout w:type="autofit"/>
        <w:tblCellMar>
          <w:top w:w="0" w:type="dxa"/>
          <w:left w:w="108" w:type="dxa"/>
          <w:bottom w:w="0" w:type="dxa"/>
          <w:right w:w="108" w:type="dxa"/>
        </w:tblCellMar>
      </w:tblPr>
      <w:tblGrid>
        <w:gridCol w:w="2258"/>
        <w:gridCol w:w="3960"/>
      </w:tblGrid>
      <w:tr w14:paraId="01F6E0C4">
        <w:tblPrEx>
          <w:tblCellMar>
            <w:top w:w="0" w:type="dxa"/>
            <w:left w:w="108" w:type="dxa"/>
            <w:bottom w:w="0" w:type="dxa"/>
            <w:right w:w="108" w:type="dxa"/>
          </w:tblCellMar>
        </w:tblPrEx>
        <w:trPr>
          <w:jc w:val="center"/>
        </w:trPr>
        <w:tc>
          <w:tcPr>
            <w:tcW w:w="2258" w:type="dxa"/>
            <w:vAlign w:val="center"/>
          </w:tcPr>
          <w:p w14:paraId="0EB40252">
            <w:pPr>
              <w:snapToGrid w:val="0"/>
              <w:spacing w:before="312" w:beforeLines="100" w:line="276" w:lineRule="auto"/>
              <w:jc w:val="distribute"/>
              <w:rPr>
                <w:rFonts w:ascii="黑体" w:hAnsi="黑体" w:eastAsia="黑体"/>
                <w:b/>
                <w:bCs/>
                <w:sz w:val="32"/>
                <w:szCs w:val="32"/>
                <w:u w:val="single"/>
              </w:rPr>
            </w:pPr>
            <w:r>
              <w:rPr>
                <w:rFonts w:hint="eastAsia" w:ascii="黑体" w:hAnsi="黑体" w:eastAsia="黑体"/>
                <w:b/>
                <w:bCs/>
                <w:sz w:val="32"/>
                <w:szCs w:val="32"/>
              </w:rPr>
              <w:t>学年学期：</w:t>
            </w:r>
          </w:p>
        </w:tc>
        <w:tc>
          <w:tcPr>
            <w:tcW w:w="3960" w:type="dxa"/>
            <w:tcBorders>
              <w:bottom w:val="single" w:color="auto" w:sz="4" w:space="0"/>
            </w:tcBorders>
            <w:vAlign w:val="center"/>
          </w:tcPr>
          <w:p w14:paraId="1D03FC05">
            <w:pPr>
              <w:snapToGrid w:val="0"/>
              <w:spacing w:before="312" w:beforeLines="100" w:line="276" w:lineRule="auto"/>
              <w:jc w:val="center"/>
              <w:rPr>
                <w:rFonts w:hint="default" w:ascii="宋体" w:hAnsi="宋体" w:eastAsiaTheme="minorEastAsia"/>
                <w:bCs/>
                <w:sz w:val="32"/>
                <w:szCs w:val="32"/>
                <w:lang w:val="en-US" w:eastAsia="zh-CN"/>
              </w:rPr>
            </w:pPr>
            <w:r>
              <w:rPr>
                <w:rFonts w:hint="eastAsia" w:ascii="宋体" w:hAnsi="宋体"/>
                <w:bCs/>
                <w:sz w:val="32"/>
                <w:szCs w:val="32"/>
                <w:lang w:val="en-US" w:eastAsia="zh-CN"/>
              </w:rPr>
              <w:t>2024-2025春夏</w:t>
            </w:r>
          </w:p>
        </w:tc>
      </w:tr>
      <w:tr w14:paraId="0247A537">
        <w:tblPrEx>
          <w:tblCellMar>
            <w:top w:w="0" w:type="dxa"/>
            <w:left w:w="108" w:type="dxa"/>
            <w:bottom w:w="0" w:type="dxa"/>
            <w:right w:w="108" w:type="dxa"/>
          </w:tblCellMar>
        </w:tblPrEx>
        <w:trPr>
          <w:jc w:val="center"/>
        </w:trPr>
        <w:tc>
          <w:tcPr>
            <w:tcW w:w="2258" w:type="dxa"/>
            <w:vAlign w:val="center"/>
          </w:tcPr>
          <w:p w14:paraId="1CB42239">
            <w:pPr>
              <w:snapToGrid w:val="0"/>
              <w:spacing w:before="312" w:beforeLines="100" w:line="276" w:lineRule="auto"/>
              <w:jc w:val="distribute"/>
              <w:rPr>
                <w:rFonts w:ascii="黑体" w:hAnsi="黑体" w:eastAsia="黑体"/>
                <w:b/>
                <w:bCs/>
                <w:sz w:val="32"/>
                <w:szCs w:val="32"/>
                <w:u w:val="single"/>
              </w:rPr>
            </w:pPr>
            <w:r>
              <w:rPr>
                <w:rFonts w:hint="eastAsia" w:ascii="黑体" w:hAnsi="黑体" w:eastAsia="黑体"/>
                <w:b/>
                <w:bCs/>
                <w:sz w:val="32"/>
                <w:szCs w:val="32"/>
              </w:rPr>
              <w:t>姓名与学号：</w:t>
            </w:r>
          </w:p>
        </w:tc>
        <w:tc>
          <w:tcPr>
            <w:tcW w:w="3960" w:type="dxa"/>
            <w:tcBorders>
              <w:top w:val="single" w:color="auto" w:sz="4" w:space="0"/>
              <w:bottom w:val="single" w:color="auto" w:sz="4" w:space="0"/>
            </w:tcBorders>
            <w:vAlign w:val="center"/>
          </w:tcPr>
          <w:p w14:paraId="7FCAF43E">
            <w:pPr>
              <w:snapToGrid w:val="0"/>
              <w:spacing w:before="312" w:beforeLines="100" w:line="276" w:lineRule="auto"/>
              <w:jc w:val="center"/>
              <w:rPr>
                <w:rFonts w:hint="default" w:ascii="宋体" w:hAnsi="宋体" w:eastAsiaTheme="minorEastAsia"/>
                <w:bCs/>
                <w:sz w:val="32"/>
                <w:szCs w:val="32"/>
                <w:lang w:val="en-US" w:eastAsia="zh-CN"/>
              </w:rPr>
            </w:pPr>
            <w:r>
              <w:rPr>
                <w:rFonts w:hint="eastAsia" w:ascii="宋体" w:hAnsi="宋体"/>
                <w:bCs/>
                <w:sz w:val="32"/>
                <w:szCs w:val="32"/>
                <w:lang w:val="en-US" w:eastAsia="zh-CN"/>
              </w:rPr>
              <w:t>王彦成3240102035</w:t>
            </w:r>
          </w:p>
        </w:tc>
      </w:tr>
      <w:tr w14:paraId="163E2498">
        <w:tblPrEx>
          <w:tblCellMar>
            <w:top w:w="0" w:type="dxa"/>
            <w:left w:w="108" w:type="dxa"/>
            <w:bottom w:w="0" w:type="dxa"/>
            <w:right w:w="108" w:type="dxa"/>
          </w:tblCellMar>
        </w:tblPrEx>
        <w:trPr>
          <w:jc w:val="center"/>
        </w:trPr>
        <w:tc>
          <w:tcPr>
            <w:tcW w:w="2258" w:type="dxa"/>
            <w:vAlign w:val="center"/>
          </w:tcPr>
          <w:p w14:paraId="0A895B7D">
            <w:pPr>
              <w:snapToGrid w:val="0"/>
              <w:spacing w:before="312" w:beforeLines="100" w:line="276" w:lineRule="auto"/>
              <w:jc w:val="distribute"/>
              <w:rPr>
                <w:rFonts w:ascii="黑体" w:hAnsi="黑体" w:eastAsia="黑体"/>
                <w:b/>
                <w:bCs/>
                <w:sz w:val="32"/>
                <w:u w:val="single"/>
              </w:rPr>
            </w:pPr>
            <w:r>
              <w:rPr>
                <w:rFonts w:hint="eastAsia" w:ascii="黑体" w:hAnsi="黑体" w:eastAsia="黑体"/>
                <w:b/>
                <w:bCs/>
                <w:sz w:val="32"/>
              </w:rPr>
              <w:t>年级与专业：</w:t>
            </w:r>
          </w:p>
        </w:tc>
        <w:tc>
          <w:tcPr>
            <w:tcW w:w="3960" w:type="dxa"/>
            <w:tcBorders>
              <w:top w:val="single" w:color="auto" w:sz="4" w:space="0"/>
              <w:bottom w:val="single" w:color="auto" w:sz="4" w:space="0"/>
            </w:tcBorders>
            <w:vAlign w:val="center"/>
          </w:tcPr>
          <w:p w14:paraId="23443116">
            <w:pPr>
              <w:snapToGrid w:val="0"/>
              <w:spacing w:before="312" w:beforeLines="100" w:line="276" w:lineRule="auto"/>
              <w:jc w:val="center"/>
              <w:rPr>
                <w:rFonts w:hint="default" w:ascii="宋体" w:hAnsi="宋体" w:eastAsiaTheme="minorEastAsia"/>
                <w:bCs/>
                <w:sz w:val="32"/>
                <w:lang w:val="en-US" w:eastAsia="zh-CN"/>
              </w:rPr>
            </w:pPr>
            <w:r>
              <w:rPr>
                <w:rFonts w:hint="eastAsia" w:ascii="宋体" w:hAnsi="宋体"/>
                <w:bCs/>
                <w:sz w:val="32"/>
              </w:rPr>
              <w:t xml:space="preserve"> </w:t>
            </w:r>
            <w:r>
              <w:rPr>
                <w:rFonts w:hint="eastAsia" w:ascii="宋体" w:hAnsi="宋体"/>
                <w:bCs/>
                <w:sz w:val="32"/>
                <w:lang w:val="en-US" w:eastAsia="zh-CN"/>
              </w:rPr>
              <w:t>大一法学</w:t>
            </w:r>
          </w:p>
        </w:tc>
      </w:tr>
      <w:tr w14:paraId="1268059A">
        <w:tblPrEx>
          <w:tblCellMar>
            <w:top w:w="0" w:type="dxa"/>
            <w:left w:w="108" w:type="dxa"/>
            <w:bottom w:w="0" w:type="dxa"/>
            <w:right w:w="108" w:type="dxa"/>
          </w:tblCellMar>
        </w:tblPrEx>
        <w:trPr>
          <w:jc w:val="center"/>
        </w:trPr>
        <w:tc>
          <w:tcPr>
            <w:tcW w:w="2258" w:type="dxa"/>
            <w:vAlign w:val="center"/>
          </w:tcPr>
          <w:p w14:paraId="5AE8A642">
            <w:pPr>
              <w:snapToGrid w:val="0"/>
              <w:spacing w:before="312" w:beforeLines="100" w:line="276" w:lineRule="auto"/>
              <w:jc w:val="distribute"/>
              <w:rPr>
                <w:rFonts w:ascii="黑体" w:hAnsi="黑体" w:eastAsia="黑体"/>
                <w:b/>
                <w:bCs/>
                <w:sz w:val="32"/>
                <w:u w:val="single"/>
              </w:rPr>
            </w:pPr>
            <w:r>
              <w:rPr>
                <w:rFonts w:hint="eastAsia" w:ascii="黑体" w:hAnsi="黑体" w:eastAsia="黑体"/>
                <w:b/>
                <w:bCs/>
                <w:sz w:val="32"/>
              </w:rPr>
              <w:t>任课教师：</w:t>
            </w:r>
          </w:p>
        </w:tc>
        <w:tc>
          <w:tcPr>
            <w:tcW w:w="3960" w:type="dxa"/>
            <w:tcBorders>
              <w:top w:val="single" w:color="auto" w:sz="4" w:space="0"/>
              <w:bottom w:val="single" w:color="auto" w:sz="4" w:space="0"/>
            </w:tcBorders>
            <w:vAlign w:val="center"/>
          </w:tcPr>
          <w:p w14:paraId="52AD5179">
            <w:pPr>
              <w:snapToGrid w:val="0"/>
              <w:spacing w:before="312" w:beforeLines="100" w:line="276" w:lineRule="auto"/>
              <w:jc w:val="center"/>
              <w:rPr>
                <w:rFonts w:hint="default" w:ascii="宋体" w:hAnsi="宋体" w:eastAsiaTheme="minorEastAsia"/>
                <w:bCs/>
                <w:sz w:val="32"/>
                <w:lang w:val="en-US" w:eastAsia="zh-CN"/>
              </w:rPr>
            </w:pPr>
            <w:r>
              <w:rPr>
                <w:rFonts w:hint="eastAsia" w:ascii="宋体" w:hAnsi="宋体"/>
                <w:bCs/>
                <w:sz w:val="32"/>
                <w:lang w:val="en-US" w:eastAsia="zh-CN"/>
              </w:rPr>
              <w:t>余军</w:t>
            </w:r>
          </w:p>
        </w:tc>
      </w:tr>
      <w:tr w14:paraId="7777E866">
        <w:tblPrEx>
          <w:tblCellMar>
            <w:top w:w="0" w:type="dxa"/>
            <w:left w:w="108" w:type="dxa"/>
            <w:bottom w:w="0" w:type="dxa"/>
            <w:right w:w="108" w:type="dxa"/>
          </w:tblCellMar>
        </w:tblPrEx>
        <w:trPr>
          <w:jc w:val="center"/>
        </w:trPr>
        <w:tc>
          <w:tcPr>
            <w:tcW w:w="2258" w:type="dxa"/>
            <w:vAlign w:val="center"/>
          </w:tcPr>
          <w:p w14:paraId="6BED7D43">
            <w:pPr>
              <w:snapToGrid w:val="0"/>
              <w:spacing w:before="312" w:beforeLines="100" w:line="276" w:lineRule="auto"/>
              <w:jc w:val="distribute"/>
              <w:rPr>
                <w:rFonts w:ascii="黑体" w:hAnsi="黑体" w:eastAsia="黑体"/>
                <w:b/>
                <w:bCs/>
                <w:sz w:val="30"/>
                <w:szCs w:val="30"/>
                <w:u w:val="single"/>
              </w:rPr>
            </w:pPr>
            <w:r>
              <w:rPr>
                <w:rFonts w:hint="eastAsia" w:ascii="黑体" w:hAnsi="黑体" w:eastAsia="黑体"/>
                <w:b/>
                <w:bCs/>
                <w:sz w:val="32"/>
                <w:szCs w:val="32"/>
              </w:rPr>
              <w:t>开课学院</w:t>
            </w:r>
            <w:r>
              <w:rPr>
                <w:rFonts w:hint="eastAsia" w:ascii="黑体" w:hAnsi="黑体" w:eastAsia="黑体"/>
                <w:b/>
                <w:bCs/>
                <w:sz w:val="30"/>
                <w:szCs w:val="30"/>
              </w:rPr>
              <w:t>：</w:t>
            </w:r>
          </w:p>
        </w:tc>
        <w:tc>
          <w:tcPr>
            <w:tcW w:w="3960" w:type="dxa"/>
            <w:tcBorders>
              <w:top w:val="single" w:color="auto" w:sz="4" w:space="0"/>
              <w:bottom w:val="single" w:color="auto" w:sz="4" w:space="0"/>
            </w:tcBorders>
            <w:vAlign w:val="center"/>
          </w:tcPr>
          <w:p w14:paraId="5EB2A181">
            <w:pPr>
              <w:snapToGrid w:val="0"/>
              <w:spacing w:before="312" w:beforeLines="100" w:line="276" w:lineRule="auto"/>
              <w:jc w:val="center"/>
              <w:rPr>
                <w:rFonts w:hint="default" w:ascii="宋体" w:hAnsi="宋体" w:eastAsiaTheme="minorEastAsia"/>
                <w:bCs/>
                <w:sz w:val="30"/>
                <w:szCs w:val="30"/>
                <w:lang w:val="en-US" w:eastAsia="zh-CN"/>
              </w:rPr>
            </w:pPr>
            <w:r>
              <w:rPr>
                <w:rFonts w:hint="eastAsia" w:ascii="宋体" w:hAnsi="宋体"/>
                <w:bCs/>
                <w:sz w:val="30"/>
                <w:szCs w:val="30"/>
                <w:lang w:val="en-US" w:eastAsia="zh-CN"/>
              </w:rPr>
              <w:t>光华法学院</w:t>
            </w:r>
          </w:p>
        </w:tc>
      </w:tr>
    </w:tbl>
    <w:p w14:paraId="0A693FBB">
      <w:pPr>
        <w:snapToGrid w:val="0"/>
        <w:spacing w:line="276" w:lineRule="auto"/>
        <w:jc w:val="left"/>
        <w:rPr>
          <w:rFonts w:eastAsia="华文仿宋"/>
          <w:sz w:val="30"/>
          <w:szCs w:val="30"/>
          <w:u w:val="wave"/>
        </w:rPr>
      </w:pPr>
    </w:p>
    <w:p w14:paraId="60945245">
      <w:pPr>
        <w:snapToGrid w:val="0"/>
        <w:spacing w:line="276" w:lineRule="auto"/>
        <w:jc w:val="center"/>
        <w:rPr>
          <w:rFonts w:hint="eastAsia" w:ascii="黑体" w:hAnsi="黑体" w:eastAsia="黑体"/>
          <w:b/>
          <w:bCs/>
          <w:sz w:val="30"/>
          <w:szCs w:val="30"/>
        </w:rPr>
      </w:pPr>
      <w:r>
        <w:rPr>
          <w:rFonts w:hint="eastAsia" w:ascii="黑体" w:hAnsi="黑体" w:eastAsia="黑体"/>
          <w:b/>
          <w:bCs/>
          <w:sz w:val="30"/>
          <w:szCs w:val="30"/>
        </w:rPr>
        <w:t xml:space="preserve">提交日期 </w:t>
      </w:r>
      <w:r>
        <w:rPr>
          <w:rFonts w:hint="eastAsia" w:ascii="黑体" w:hAnsi="黑体" w:eastAsia="黑体"/>
          <w:b/>
          <w:bCs/>
          <w:sz w:val="30"/>
          <w:szCs w:val="30"/>
          <w:lang w:val="en-US" w:eastAsia="zh-CN"/>
        </w:rPr>
        <w:t>2025</w:t>
      </w:r>
      <w:r>
        <w:rPr>
          <w:rFonts w:ascii="黑体" w:hAnsi="黑体" w:eastAsia="黑体"/>
          <w:b/>
          <w:bCs/>
          <w:sz w:val="30"/>
          <w:szCs w:val="30"/>
        </w:rPr>
        <w:t xml:space="preserve"> </w:t>
      </w:r>
      <w:r>
        <w:rPr>
          <w:rFonts w:hint="eastAsia" w:ascii="黑体" w:hAnsi="黑体" w:eastAsia="黑体"/>
          <w:b/>
          <w:bCs/>
          <w:sz w:val="30"/>
          <w:szCs w:val="30"/>
        </w:rPr>
        <w:t>年</w:t>
      </w:r>
      <w:r>
        <w:rPr>
          <w:rFonts w:ascii="黑体" w:hAnsi="黑体" w:eastAsia="黑体"/>
          <w:b/>
          <w:bCs/>
          <w:sz w:val="30"/>
          <w:szCs w:val="30"/>
        </w:rPr>
        <w:t xml:space="preserve"> </w:t>
      </w:r>
      <w:r>
        <w:rPr>
          <w:rFonts w:hint="eastAsia" w:ascii="黑体" w:hAnsi="黑体" w:eastAsia="黑体"/>
          <w:b/>
          <w:bCs/>
          <w:sz w:val="30"/>
          <w:szCs w:val="30"/>
          <w:lang w:val="en-US" w:eastAsia="zh-CN"/>
        </w:rPr>
        <w:t>5</w:t>
      </w:r>
      <w:r>
        <w:rPr>
          <w:rFonts w:hint="eastAsia" w:ascii="黑体" w:hAnsi="黑体" w:eastAsia="黑体"/>
          <w:b/>
          <w:bCs/>
          <w:sz w:val="30"/>
          <w:szCs w:val="30"/>
        </w:rPr>
        <w:t xml:space="preserve"> 月 </w:t>
      </w:r>
      <w:r>
        <w:rPr>
          <w:rFonts w:hint="eastAsia" w:ascii="黑体" w:hAnsi="黑体" w:eastAsia="黑体"/>
          <w:b/>
          <w:bCs/>
          <w:sz w:val="30"/>
          <w:szCs w:val="30"/>
          <w:lang w:val="en-US" w:eastAsia="zh-CN"/>
        </w:rPr>
        <w:t>26</w:t>
      </w:r>
      <w:r>
        <w:rPr>
          <w:rFonts w:hint="eastAsia" w:ascii="黑体" w:hAnsi="黑体" w:eastAsia="黑体"/>
          <w:b/>
          <w:bCs/>
          <w:sz w:val="30"/>
          <w:szCs w:val="30"/>
        </w:rPr>
        <w:t xml:space="preserve"> 日</w:t>
      </w:r>
    </w:p>
    <w:p w14:paraId="77165585"/>
    <w:p w14:paraId="32C18067">
      <w:pPr>
        <w:sectPr>
          <w:footerReference r:id="rId4" w:type="default"/>
          <w:footerReference r:id="rId5" w:type="even"/>
          <w:type w:val="continuous"/>
          <w:pgSz w:w="11906" w:h="16838"/>
          <w:pgMar w:top="1417" w:right="1134" w:bottom="1134" w:left="1417" w:header="851" w:footer="992" w:gutter="0"/>
          <w:pgNumType w:fmt="upperRoman"/>
          <w:cols w:space="0" w:num="1"/>
          <w:docGrid w:type="lines" w:linePitch="312" w:charSpace="0"/>
        </w:sectPr>
      </w:pPr>
    </w:p>
    <w:p w14:paraId="2241BBF4">
      <w:pPr>
        <w:rPr>
          <w:rFonts w:hint="eastAsia" w:ascii="宋体" w:hAnsi="宋体" w:eastAsia="宋体" w:cs="宋体"/>
          <w:b w:val="0"/>
          <w:bCs w:val="0"/>
          <w:sz w:val="21"/>
          <w:szCs w:val="21"/>
          <w:lang w:val="en-US" w:eastAsia="zh-CN"/>
        </w:rPr>
      </w:pPr>
    </w:p>
    <w:p w14:paraId="4E04B18B">
      <w:pPr>
        <w:spacing w:line="240" w:lineRule="auto"/>
        <w:ind w:right="0" w:rightChars="0" w:firstLine="562" w:firstLineChars="200"/>
        <w:jc w:val="center"/>
        <w:outlineLvl w:val="0"/>
        <w:rPr>
          <w:rFonts w:hint="eastAsia" w:ascii="黑体" w:hAnsi="黑体" w:eastAsia="黑体" w:cs="黑体"/>
          <w:b/>
          <w:bCs/>
          <w:sz w:val="28"/>
          <w:szCs w:val="28"/>
          <w:lang w:val="en-US" w:eastAsia="zh-CN"/>
        </w:rPr>
      </w:pPr>
      <w:bookmarkStart w:id="0" w:name="_Toc27654"/>
      <w:r>
        <w:rPr>
          <w:rFonts w:hint="eastAsia" w:ascii="黑体" w:hAnsi="黑体" w:eastAsia="黑体" w:cs="黑体"/>
          <w:b/>
          <w:bCs/>
          <w:sz w:val="28"/>
          <w:szCs w:val="28"/>
          <w:lang w:val="en-US" w:eastAsia="zh-CN"/>
        </w:rPr>
        <w:t>摘要</w:t>
      </w:r>
      <w:bookmarkEnd w:id="0"/>
    </w:p>
    <w:p w14:paraId="645E7109">
      <w:pPr>
        <w:spacing w:line="240" w:lineRule="auto"/>
        <w:ind w:right="0" w:firstLine="480" w:firstLineChars="200"/>
        <w:jc w:val="both"/>
        <w:rPr>
          <w:rFonts w:hint="eastAsia" w:ascii="宋体" w:hAnsi="宋体" w:eastAsia="宋体" w:cs="宋体"/>
          <w:i w:val="0"/>
          <w:iCs w:val="0"/>
          <w:caps w:val="0"/>
          <w:spacing w:val="0"/>
          <w:sz w:val="24"/>
          <w:szCs w:val="24"/>
          <w:shd w:val="clear" w:color="auto" w:fill="auto"/>
        </w:rPr>
      </w:pPr>
      <w:r>
        <w:rPr>
          <w:rFonts w:hint="eastAsia" w:ascii="宋体" w:hAnsi="宋体" w:eastAsia="宋体" w:cs="宋体"/>
          <w:b w:val="0"/>
          <w:bCs w:val="0"/>
          <w:sz w:val="24"/>
          <w:szCs w:val="24"/>
          <w:lang w:val="en-US" w:eastAsia="zh-CN"/>
        </w:rPr>
        <w:t>以下是我</w:t>
      </w:r>
      <w:r>
        <w:rPr>
          <w:rFonts w:hint="eastAsia" w:ascii="宋体" w:hAnsi="宋体" w:eastAsia="宋体" w:cs="宋体"/>
          <w:i w:val="0"/>
          <w:iCs w:val="0"/>
          <w:caps w:val="0"/>
          <w:spacing w:val="0"/>
          <w:sz w:val="24"/>
          <w:szCs w:val="24"/>
          <w:shd w:val="clear" w:color="auto" w:fill="auto"/>
        </w:rPr>
        <w:t>关于《法学方法论》的读书报告，</w:t>
      </w:r>
      <w:r>
        <w:rPr>
          <w:rFonts w:hint="eastAsia" w:ascii="宋体" w:hAnsi="宋体" w:eastAsia="宋体" w:cs="宋体"/>
          <w:i w:val="0"/>
          <w:iCs w:val="0"/>
          <w:caps w:val="0"/>
          <w:spacing w:val="0"/>
          <w:sz w:val="24"/>
          <w:szCs w:val="24"/>
          <w:shd w:val="clear" w:color="auto" w:fill="auto"/>
          <w:lang w:val="en-US" w:eastAsia="zh-CN"/>
        </w:rPr>
        <w:t>作者</w:t>
      </w:r>
      <w:r>
        <w:rPr>
          <w:rFonts w:hint="eastAsia" w:ascii="宋体" w:hAnsi="宋体" w:eastAsia="宋体" w:cs="宋体"/>
          <w:i w:val="0"/>
          <w:iCs w:val="0"/>
          <w:caps w:val="0"/>
          <w:spacing w:val="0"/>
          <w:sz w:val="24"/>
          <w:szCs w:val="24"/>
          <w:shd w:val="clear" w:color="auto" w:fill="auto"/>
        </w:rPr>
        <w:t>从序言切入，强调法学方法对法学生的重要性。通过诽韩案探讨概念法学，指出法官应具法学方法素养。第四编中作者认为研究法应兼顾法律目的与社会发展，法律解释的妥当性派生出现在性、创造性、社会性，狭义法律解释应据案情灵活运用方法，合宪解释有重要功能，目的性限缩有积极消极面，需具体微观正当性基础支撑。整体体现了对法学方法论的深入思考与学习收获。</w:t>
      </w:r>
    </w:p>
    <w:p w14:paraId="7CB3CE0C">
      <w:pPr>
        <w:rPr>
          <w:rFonts w:hint="eastAsia" w:ascii="宋体" w:hAnsi="宋体" w:eastAsia="宋体" w:cs="宋体"/>
          <w:i w:val="0"/>
          <w:iCs w:val="0"/>
          <w:caps w:val="0"/>
          <w:spacing w:val="0"/>
          <w:sz w:val="24"/>
          <w:szCs w:val="24"/>
          <w:shd w:val="clear" w:color="auto" w:fill="auto"/>
        </w:rPr>
      </w:pPr>
    </w:p>
    <w:sdt>
      <w:sdtPr>
        <w:rPr>
          <w:rFonts w:ascii="宋体" w:hAnsi="宋体" w:eastAsia="宋体" w:cstheme="minorBidi"/>
          <w:kern w:val="2"/>
          <w:sz w:val="21"/>
          <w:szCs w:val="24"/>
          <w:lang w:val="en-US" w:eastAsia="zh-CN" w:bidi="ar-SA"/>
        </w:rPr>
        <w:id w:val="147455314"/>
        <w15:color w:val="DBDBDB"/>
        <w:docPartObj>
          <w:docPartGallery w:val="Table of Contents"/>
          <w:docPartUnique/>
        </w:docPartObj>
      </w:sdtPr>
      <w:sdtEndPr>
        <w:rPr>
          <w:rFonts w:hint="eastAsia" w:ascii="宋体" w:hAnsi="宋体" w:eastAsia="宋体" w:cs="宋体"/>
          <w:i w:val="0"/>
          <w:iCs w:val="0"/>
          <w:caps w:val="0"/>
          <w:spacing w:val="0"/>
          <w:kern w:val="2"/>
          <w:sz w:val="21"/>
          <w:szCs w:val="24"/>
          <w:shd w:val="clear" w:color="auto" w:fill="auto"/>
          <w:lang w:val="en-US" w:eastAsia="zh-CN" w:bidi="ar-SA"/>
        </w:rPr>
      </w:sdtEndPr>
      <w:sdtContent>
        <w:p w14:paraId="4588D83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8A0C678">
          <w:pPr>
            <w:pStyle w:val="5"/>
            <w:tabs>
              <w:tab w:val="right" w:leader="dot" w:pos="8306"/>
            </w:tabs>
          </w:pPr>
          <w:r>
            <w:rPr>
              <w:rFonts w:hint="eastAsia" w:ascii="宋体" w:hAnsi="宋体" w:eastAsia="宋体" w:cs="宋体"/>
              <w:i w:val="0"/>
              <w:iCs w:val="0"/>
              <w:caps w:val="0"/>
              <w:spacing w:val="0"/>
              <w:sz w:val="24"/>
              <w:szCs w:val="24"/>
              <w:shd w:val="clear" w:color="auto" w:fill="auto"/>
              <w:lang w:val="en-US" w:eastAsia="zh-CN"/>
            </w:rPr>
            <w:fldChar w:fldCharType="begin"/>
          </w:r>
          <w:r>
            <w:rPr>
              <w:rFonts w:hint="eastAsia" w:ascii="宋体" w:hAnsi="宋体" w:eastAsia="宋体" w:cs="宋体"/>
              <w:i w:val="0"/>
              <w:iCs w:val="0"/>
              <w:caps w:val="0"/>
              <w:spacing w:val="0"/>
              <w:sz w:val="24"/>
              <w:szCs w:val="24"/>
              <w:shd w:val="clear" w:color="auto" w:fill="auto"/>
              <w:lang w:val="en-US" w:eastAsia="zh-CN"/>
            </w:rPr>
            <w:instrText xml:space="preserve">TOC \o "1-2" \h \u </w:instrText>
          </w:r>
          <w:r>
            <w:rPr>
              <w:rFonts w:hint="eastAsia" w:ascii="宋体" w:hAnsi="宋体" w:eastAsia="宋体" w:cs="宋体"/>
              <w:i w:val="0"/>
              <w:iCs w:val="0"/>
              <w:caps w:val="0"/>
              <w:spacing w:val="0"/>
              <w:sz w:val="24"/>
              <w:szCs w:val="24"/>
              <w:shd w:val="clear" w:color="auto" w:fill="auto"/>
              <w:lang w:val="en-US" w:eastAsia="zh-CN"/>
            </w:rPr>
            <w:fldChar w:fldCharType="separate"/>
          </w:r>
          <w:r>
            <w:rPr>
              <w:rFonts w:hint="eastAsia" w:ascii="宋体" w:hAnsi="宋体" w:eastAsia="宋体" w:cs="宋体"/>
              <w:i w:val="0"/>
              <w:iCs w:val="0"/>
              <w:caps w:val="0"/>
              <w:spacing w:val="0"/>
              <w:szCs w:val="24"/>
              <w:shd w:val="clear" w:color="auto" w:fill="auto"/>
              <w:lang w:val="en-US" w:eastAsia="zh-CN"/>
            </w:rPr>
            <w:fldChar w:fldCharType="begin"/>
          </w:r>
          <w:r>
            <w:rPr>
              <w:rFonts w:hint="eastAsia" w:ascii="宋体" w:hAnsi="宋体" w:eastAsia="宋体" w:cs="宋体"/>
              <w:i w:val="0"/>
              <w:iCs w:val="0"/>
              <w:caps w:val="0"/>
              <w:spacing w:val="0"/>
              <w:szCs w:val="24"/>
              <w:shd w:val="clear" w:color="auto" w:fill="auto"/>
              <w:lang w:val="en-US" w:eastAsia="zh-CN"/>
            </w:rPr>
            <w:instrText xml:space="preserve"> HYPERLINK \l _Toc27654 </w:instrText>
          </w:r>
          <w:r>
            <w:rPr>
              <w:rFonts w:hint="eastAsia" w:ascii="宋体" w:hAnsi="宋体" w:eastAsia="宋体" w:cs="宋体"/>
              <w:i w:val="0"/>
              <w:iCs w:val="0"/>
              <w:caps w:val="0"/>
              <w:spacing w:val="0"/>
              <w:szCs w:val="24"/>
              <w:shd w:val="clear" w:color="auto" w:fill="auto"/>
              <w:lang w:val="en-US" w:eastAsia="zh-CN"/>
            </w:rPr>
            <w:fldChar w:fldCharType="separate"/>
          </w:r>
          <w:r>
            <w:rPr>
              <w:rFonts w:hint="eastAsia" w:ascii="黑体" w:hAnsi="黑体" w:eastAsia="黑体" w:cs="黑体"/>
              <w:bCs/>
              <w:szCs w:val="28"/>
              <w:lang w:val="en-US" w:eastAsia="zh-CN"/>
            </w:rPr>
            <w:t>摘要</w:t>
          </w:r>
          <w:r>
            <w:tab/>
          </w:r>
          <w:r>
            <w:fldChar w:fldCharType="begin"/>
          </w:r>
          <w:r>
            <w:instrText xml:space="preserve"> PAGEREF _Toc27654 \h </w:instrText>
          </w:r>
          <w:r>
            <w:fldChar w:fldCharType="separate"/>
          </w:r>
          <w:r>
            <w:t>2</w:t>
          </w:r>
          <w:r>
            <w:fldChar w:fldCharType="end"/>
          </w:r>
          <w:r>
            <w:rPr>
              <w:rFonts w:hint="eastAsia" w:ascii="宋体" w:hAnsi="宋体" w:eastAsia="宋体" w:cs="宋体"/>
              <w:i w:val="0"/>
              <w:iCs w:val="0"/>
              <w:caps w:val="0"/>
              <w:spacing w:val="0"/>
              <w:szCs w:val="24"/>
              <w:shd w:val="clear" w:color="auto" w:fill="auto"/>
              <w:lang w:val="en-US" w:eastAsia="zh-CN"/>
            </w:rPr>
            <w:fldChar w:fldCharType="end"/>
          </w:r>
        </w:p>
        <w:p w14:paraId="5698861A">
          <w:pPr>
            <w:pStyle w:val="5"/>
            <w:tabs>
              <w:tab w:val="right" w:leader="dot" w:pos="8306"/>
            </w:tabs>
          </w:pPr>
          <w:r>
            <w:rPr>
              <w:rFonts w:hint="eastAsia" w:ascii="宋体" w:hAnsi="宋体" w:eastAsia="宋体" w:cs="宋体"/>
              <w:i w:val="0"/>
              <w:iCs w:val="0"/>
              <w:caps w:val="0"/>
              <w:spacing w:val="0"/>
              <w:szCs w:val="24"/>
              <w:shd w:val="clear" w:color="auto" w:fill="auto"/>
              <w:lang w:val="en-US" w:eastAsia="zh-CN"/>
            </w:rPr>
            <w:fldChar w:fldCharType="begin"/>
          </w:r>
          <w:r>
            <w:rPr>
              <w:rFonts w:hint="eastAsia" w:ascii="宋体" w:hAnsi="宋体" w:eastAsia="宋体" w:cs="宋体"/>
              <w:i w:val="0"/>
              <w:iCs w:val="0"/>
              <w:caps w:val="0"/>
              <w:spacing w:val="0"/>
              <w:szCs w:val="24"/>
              <w:shd w:val="clear" w:color="auto" w:fill="auto"/>
              <w:lang w:val="en-US" w:eastAsia="zh-CN"/>
            </w:rPr>
            <w:instrText xml:space="preserve"> HYPERLINK \l _Toc23140 </w:instrText>
          </w:r>
          <w:r>
            <w:rPr>
              <w:rFonts w:hint="eastAsia" w:ascii="宋体" w:hAnsi="宋体" w:eastAsia="宋体" w:cs="宋体"/>
              <w:i w:val="0"/>
              <w:iCs w:val="0"/>
              <w:caps w:val="0"/>
              <w:spacing w:val="0"/>
              <w:szCs w:val="24"/>
              <w:shd w:val="clear" w:color="auto" w:fill="auto"/>
              <w:lang w:val="en-US" w:eastAsia="zh-CN"/>
            </w:rPr>
            <w:fldChar w:fldCharType="separate"/>
          </w:r>
          <w:r>
            <w:rPr>
              <w:rFonts w:hint="default" w:ascii="Times New Roman" w:hAnsi="Times New Roman" w:eastAsia="宋体" w:cs="Times New Roman"/>
              <w:bCs/>
              <w:szCs w:val="28"/>
              <w:lang w:val="en-US" w:eastAsia="zh-CN"/>
            </w:rPr>
            <w:t>一、引言</w:t>
          </w:r>
          <w:r>
            <w:tab/>
          </w:r>
          <w:r>
            <w:fldChar w:fldCharType="begin"/>
          </w:r>
          <w:r>
            <w:instrText xml:space="preserve"> PAGEREF _Toc23140 \h </w:instrText>
          </w:r>
          <w:r>
            <w:fldChar w:fldCharType="separate"/>
          </w:r>
          <w:r>
            <w:t>3</w:t>
          </w:r>
          <w:r>
            <w:fldChar w:fldCharType="end"/>
          </w:r>
          <w:r>
            <w:rPr>
              <w:rFonts w:hint="eastAsia" w:ascii="宋体" w:hAnsi="宋体" w:eastAsia="宋体" w:cs="宋体"/>
              <w:i w:val="0"/>
              <w:iCs w:val="0"/>
              <w:caps w:val="0"/>
              <w:spacing w:val="0"/>
              <w:szCs w:val="24"/>
              <w:shd w:val="clear" w:color="auto" w:fill="auto"/>
              <w:lang w:val="en-US" w:eastAsia="zh-CN"/>
            </w:rPr>
            <w:fldChar w:fldCharType="end"/>
          </w:r>
        </w:p>
        <w:p w14:paraId="3119183F">
          <w:pPr>
            <w:pStyle w:val="5"/>
            <w:tabs>
              <w:tab w:val="right" w:leader="dot" w:pos="8306"/>
            </w:tabs>
          </w:pPr>
          <w:r>
            <w:rPr>
              <w:rFonts w:hint="eastAsia" w:ascii="宋体" w:hAnsi="宋体" w:eastAsia="宋体" w:cs="宋体"/>
              <w:i w:val="0"/>
              <w:iCs w:val="0"/>
              <w:caps w:val="0"/>
              <w:spacing w:val="0"/>
              <w:szCs w:val="24"/>
              <w:shd w:val="clear" w:color="auto" w:fill="auto"/>
              <w:lang w:val="en-US" w:eastAsia="zh-CN"/>
            </w:rPr>
            <w:fldChar w:fldCharType="begin"/>
          </w:r>
          <w:r>
            <w:rPr>
              <w:rFonts w:hint="eastAsia" w:ascii="宋体" w:hAnsi="宋体" w:eastAsia="宋体" w:cs="宋体"/>
              <w:i w:val="0"/>
              <w:iCs w:val="0"/>
              <w:caps w:val="0"/>
              <w:spacing w:val="0"/>
              <w:szCs w:val="24"/>
              <w:shd w:val="clear" w:color="auto" w:fill="auto"/>
              <w:lang w:val="en-US" w:eastAsia="zh-CN"/>
            </w:rPr>
            <w:instrText xml:space="preserve"> HYPERLINK \l _Toc10456 </w:instrText>
          </w:r>
          <w:r>
            <w:rPr>
              <w:rFonts w:hint="eastAsia" w:ascii="宋体" w:hAnsi="宋体" w:eastAsia="宋体" w:cs="宋体"/>
              <w:i w:val="0"/>
              <w:iCs w:val="0"/>
              <w:caps w:val="0"/>
              <w:spacing w:val="0"/>
              <w:szCs w:val="24"/>
              <w:shd w:val="clear" w:color="auto" w:fill="auto"/>
              <w:lang w:val="en-US" w:eastAsia="zh-CN"/>
            </w:rPr>
            <w:fldChar w:fldCharType="separate"/>
          </w:r>
          <w:r>
            <w:rPr>
              <w:rFonts w:hint="eastAsia" w:ascii="Times New Roman" w:hAnsi="Times New Roman" w:eastAsia="宋体" w:cs="Times New Roman"/>
              <w:bCs/>
              <w:spacing w:val="15"/>
              <w:szCs w:val="28"/>
              <w:lang w:val="en-US" w:eastAsia="zh-CN"/>
            </w:rPr>
            <w:t xml:space="preserve">二、 </w:t>
          </w:r>
          <w:r>
            <w:rPr>
              <w:rFonts w:hint="default" w:ascii="Times New Roman" w:hAnsi="Times New Roman" w:eastAsia="宋体" w:cs="Times New Roman"/>
              <w:bCs/>
              <w:spacing w:val="15"/>
              <w:szCs w:val="28"/>
              <w:lang w:val="en-US" w:eastAsia="zh-CN"/>
            </w:rPr>
            <w:t>对于第四编的分析</w:t>
          </w:r>
          <w:r>
            <w:tab/>
          </w:r>
          <w:r>
            <w:fldChar w:fldCharType="begin"/>
          </w:r>
          <w:r>
            <w:instrText xml:space="preserve"> PAGEREF _Toc10456 \h </w:instrText>
          </w:r>
          <w:r>
            <w:fldChar w:fldCharType="separate"/>
          </w:r>
          <w:r>
            <w:t>3</w:t>
          </w:r>
          <w:r>
            <w:fldChar w:fldCharType="end"/>
          </w:r>
          <w:r>
            <w:rPr>
              <w:rFonts w:hint="eastAsia" w:ascii="宋体" w:hAnsi="宋体" w:eastAsia="宋体" w:cs="宋体"/>
              <w:i w:val="0"/>
              <w:iCs w:val="0"/>
              <w:caps w:val="0"/>
              <w:spacing w:val="0"/>
              <w:szCs w:val="24"/>
              <w:shd w:val="clear" w:color="auto" w:fill="auto"/>
              <w:lang w:val="en-US" w:eastAsia="zh-CN"/>
            </w:rPr>
            <w:fldChar w:fldCharType="end"/>
          </w:r>
        </w:p>
        <w:p w14:paraId="10A09829">
          <w:pPr>
            <w:pStyle w:val="7"/>
            <w:tabs>
              <w:tab w:val="right" w:leader="dot" w:pos="8306"/>
            </w:tabs>
          </w:pPr>
          <w:r>
            <w:rPr>
              <w:rFonts w:hint="eastAsia" w:ascii="宋体" w:hAnsi="宋体" w:eastAsia="宋体" w:cs="宋体"/>
              <w:i w:val="0"/>
              <w:iCs w:val="0"/>
              <w:caps w:val="0"/>
              <w:spacing w:val="0"/>
              <w:szCs w:val="24"/>
              <w:shd w:val="clear" w:color="auto" w:fill="auto"/>
              <w:lang w:val="en-US" w:eastAsia="zh-CN"/>
            </w:rPr>
            <w:fldChar w:fldCharType="begin"/>
          </w:r>
          <w:r>
            <w:rPr>
              <w:rFonts w:hint="eastAsia" w:ascii="宋体" w:hAnsi="宋体" w:eastAsia="宋体" w:cs="宋体"/>
              <w:i w:val="0"/>
              <w:iCs w:val="0"/>
              <w:caps w:val="0"/>
              <w:spacing w:val="0"/>
              <w:szCs w:val="24"/>
              <w:shd w:val="clear" w:color="auto" w:fill="auto"/>
              <w:lang w:val="en-US" w:eastAsia="zh-CN"/>
            </w:rPr>
            <w:instrText xml:space="preserve"> HYPERLINK \l _Toc2434 </w:instrText>
          </w:r>
          <w:r>
            <w:rPr>
              <w:rFonts w:hint="eastAsia" w:ascii="宋体" w:hAnsi="宋体" w:eastAsia="宋体" w:cs="宋体"/>
              <w:i w:val="0"/>
              <w:iCs w:val="0"/>
              <w:caps w:val="0"/>
              <w:spacing w:val="0"/>
              <w:szCs w:val="24"/>
              <w:shd w:val="clear" w:color="auto" w:fill="auto"/>
              <w:lang w:val="en-US" w:eastAsia="zh-CN"/>
            </w:rPr>
            <w:fldChar w:fldCharType="separate"/>
          </w:r>
          <w:r>
            <w:rPr>
              <w:rFonts w:hint="default" w:ascii="Times New Roman" w:hAnsi="Times New Roman" w:eastAsia="宋体" w:cs="Times New Roman"/>
              <w:bCs/>
              <w:spacing w:val="15"/>
              <w:szCs w:val="24"/>
              <w:lang w:val="en-US" w:eastAsia="zh-CN"/>
            </w:rPr>
            <w:t>（1）法学研究法</w:t>
          </w:r>
          <w:r>
            <w:tab/>
          </w:r>
          <w:r>
            <w:fldChar w:fldCharType="begin"/>
          </w:r>
          <w:r>
            <w:instrText xml:space="preserve"> PAGEREF _Toc2434 \h </w:instrText>
          </w:r>
          <w:r>
            <w:fldChar w:fldCharType="separate"/>
          </w:r>
          <w:r>
            <w:t>3</w:t>
          </w:r>
          <w:r>
            <w:fldChar w:fldCharType="end"/>
          </w:r>
          <w:r>
            <w:rPr>
              <w:rFonts w:hint="eastAsia" w:ascii="宋体" w:hAnsi="宋体" w:eastAsia="宋体" w:cs="宋体"/>
              <w:i w:val="0"/>
              <w:iCs w:val="0"/>
              <w:caps w:val="0"/>
              <w:spacing w:val="0"/>
              <w:szCs w:val="24"/>
              <w:shd w:val="clear" w:color="auto" w:fill="auto"/>
              <w:lang w:val="en-US" w:eastAsia="zh-CN"/>
            </w:rPr>
            <w:fldChar w:fldCharType="end"/>
          </w:r>
        </w:p>
        <w:p w14:paraId="3118360C">
          <w:pPr>
            <w:pStyle w:val="7"/>
            <w:tabs>
              <w:tab w:val="right" w:leader="dot" w:pos="8306"/>
            </w:tabs>
          </w:pPr>
          <w:r>
            <w:rPr>
              <w:rFonts w:hint="eastAsia" w:ascii="宋体" w:hAnsi="宋体" w:eastAsia="宋体" w:cs="宋体"/>
              <w:i w:val="0"/>
              <w:iCs w:val="0"/>
              <w:caps w:val="0"/>
              <w:spacing w:val="0"/>
              <w:szCs w:val="24"/>
              <w:shd w:val="clear" w:color="auto" w:fill="auto"/>
              <w:lang w:val="en-US" w:eastAsia="zh-CN"/>
            </w:rPr>
            <w:fldChar w:fldCharType="begin"/>
          </w:r>
          <w:r>
            <w:rPr>
              <w:rFonts w:hint="eastAsia" w:ascii="宋体" w:hAnsi="宋体" w:eastAsia="宋体" w:cs="宋体"/>
              <w:i w:val="0"/>
              <w:iCs w:val="0"/>
              <w:caps w:val="0"/>
              <w:spacing w:val="0"/>
              <w:szCs w:val="24"/>
              <w:shd w:val="clear" w:color="auto" w:fill="auto"/>
              <w:lang w:val="en-US" w:eastAsia="zh-CN"/>
            </w:rPr>
            <w:instrText xml:space="preserve"> HYPERLINK \l _Toc31076 </w:instrText>
          </w:r>
          <w:r>
            <w:rPr>
              <w:rFonts w:hint="eastAsia" w:ascii="宋体" w:hAnsi="宋体" w:eastAsia="宋体" w:cs="宋体"/>
              <w:i w:val="0"/>
              <w:iCs w:val="0"/>
              <w:caps w:val="0"/>
              <w:spacing w:val="0"/>
              <w:szCs w:val="24"/>
              <w:shd w:val="clear" w:color="auto" w:fill="auto"/>
              <w:lang w:val="en-US" w:eastAsia="zh-CN"/>
            </w:rPr>
            <w:fldChar w:fldCharType="separate"/>
          </w:r>
          <w:r>
            <w:rPr>
              <w:rFonts w:hint="default" w:ascii="Times New Roman" w:hAnsi="Times New Roman" w:eastAsia="宋体" w:cs="Times New Roman"/>
              <w:bCs/>
              <w:spacing w:val="3"/>
              <w:szCs w:val="24"/>
              <w:lang w:val="en-US" w:eastAsia="zh-CN"/>
            </w:rPr>
            <w:t>（2）法律解释</w:t>
          </w:r>
          <w:r>
            <w:tab/>
          </w:r>
          <w:r>
            <w:fldChar w:fldCharType="begin"/>
          </w:r>
          <w:r>
            <w:instrText xml:space="preserve"> PAGEREF _Toc31076 \h </w:instrText>
          </w:r>
          <w:r>
            <w:fldChar w:fldCharType="separate"/>
          </w:r>
          <w:r>
            <w:t>4</w:t>
          </w:r>
          <w:r>
            <w:fldChar w:fldCharType="end"/>
          </w:r>
          <w:r>
            <w:rPr>
              <w:rFonts w:hint="eastAsia" w:ascii="宋体" w:hAnsi="宋体" w:eastAsia="宋体" w:cs="宋体"/>
              <w:i w:val="0"/>
              <w:iCs w:val="0"/>
              <w:caps w:val="0"/>
              <w:spacing w:val="0"/>
              <w:szCs w:val="24"/>
              <w:shd w:val="clear" w:color="auto" w:fill="auto"/>
              <w:lang w:val="en-US" w:eastAsia="zh-CN"/>
            </w:rPr>
            <w:fldChar w:fldCharType="end"/>
          </w:r>
        </w:p>
        <w:p w14:paraId="5A5C2877">
          <w:pPr>
            <w:pStyle w:val="7"/>
            <w:tabs>
              <w:tab w:val="right" w:leader="dot" w:pos="8306"/>
            </w:tabs>
          </w:pPr>
          <w:r>
            <w:rPr>
              <w:rFonts w:hint="eastAsia" w:ascii="宋体" w:hAnsi="宋体" w:eastAsia="宋体" w:cs="宋体"/>
              <w:i w:val="0"/>
              <w:iCs w:val="0"/>
              <w:caps w:val="0"/>
              <w:spacing w:val="0"/>
              <w:szCs w:val="24"/>
              <w:shd w:val="clear" w:color="auto" w:fill="auto"/>
              <w:lang w:val="en-US" w:eastAsia="zh-CN"/>
            </w:rPr>
            <w:fldChar w:fldCharType="begin"/>
          </w:r>
          <w:r>
            <w:rPr>
              <w:rFonts w:hint="eastAsia" w:ascii="宋体" w:hAnsi="宋体" w:eastAsia="宋体" w:cs="宋体"/>
              <w:i w:val="0"/>
              <w:iCs w:val="0"/>
              <w:caps w:val="0"/>
              <w:spacing w:val="0"/>
              <w:szCs w:val="24"/>
              <w:shd w:val="clear" w:color="auto" w:fill="auto"/>
              <w:lang w:val="en-US" w:eastAsia="zh-CN"/>
            </w:rPr>
            <w:instrText xml:space="preserve"> HYPERLINK \l _Toc21065 </w:instrText>
          </w:r>
          <w:r>
            <w:rPr>
              <w:rFonts w:hint="eastAsia" w:ascii="宋体" w:hAnsi="宋体" w:eastAsia="宋体" w:cs="宋体"/>
              <w:i w:val="0"/>
              <w:iCs w:val="0"/>
              <w:caps w:val="0"/>
              <w:spacing w:val="0"/>
              <w:szCs w:val="24"/>
              <w:shd w:val="clear" w:color="auto" w:fill="auto"/>
              <w:lang w:val="en-US" w:eastAsia="zh-CN"/>
            </w:rPr>
            <w:fldChar w:fldCharType="separate"/>
          </w:r>
          <w:r>
            <w:rPr>
              <w:rFonts w:hint="default" w:ascii="Times New Roman" w:hAnsi="Times New Roman" w:eastAsia="宋体" w:cs="Times New Roman"/>
              <w:bCs/>
              <w:spacing w:val="3"/>
              <w:szCs w:val="24"/>
              <w:lang w:val="en-US" w:eastAsia="zh-CN"/>
            </w:rPr>
            <w:t>（3）法律阐释</w:t>
          </w:r>
          <w:r>
            <w:tab/>
          </w:r>
          <w:r>
            <w:fldChar w:fldCharType="begin"/>
          </w:r>
          <w:r>
            <w:instrText xml:space="preserve"> PAGEREF _Toc21065 \h </w:instrText>
          </w:r>
          <w:r>
            <w:fldChar w:fldCharType="separate"/>
          </w:r>
          <w:r>
            <w:t>4</w:t>
          </w:r>
          <w:r>
            <w:fldChar w:fldCharType="end"/>
          </w:r>
          <w:r>
            <w:rPr>
              <w:rFonts w:hint="eastAsia" w:ascii="宋体" w:hAnsi="宋体" w:eastAsia="宋体" w:cs="宋体"/>
              <w:i w:val="0"/>
              <w:iCs w:val="0"/>
              <w:caps w:val="0"/>
              <w:spacing w:val="0"/>
              <w:szCs w:val="24"/>
              <w:shd w:val="clear" w:color="auto" w:fill="auto"/>
              <w:lang w:val="en-US" w:eastAsia="zh-CN"/>
            </w:rPr>
            <w:fldChar w:fldCharType="end"/>
          </w:r>
        </w:p>
        <w:p w14:paraId="6C2E24F8">
          <w:pPr>
            <w:pStyle w:val="7"/>
            <w:tabs>
              <w:tab w:val="right" w:leader="dot" w:pos="8306"/>
            </w:tabs>
          </w:pPr>
          <w:r>
            <w:rPr>
              <w:rFonts w:hint="eastAsia" w:ascii="宋体" w:hAnsi="宋体" w:eastAsia="宋体" w:cs="宋体"/>
              <w:i w:val="0"/>
              <w:iCs w:val="0"/>
              <w:caps w:val="0"/>
              <w:spacing w:val="0"/>
              <w:szCs w:val="24"/>
              <w:shd w:val="clear" w:color="auto" w:fill="auto"/>
              <w:lang w:val="en-US" w:eastAsia="zh-CN"/>
            </w:rPr>
            <w:fldChar w:fldCharType="begin"/>
          </w:r>
          <w:r>
            <w:rPr>
              <w:rFonts w:hint="eastAsia" w:ascii="宋体" w:hAnsi="宋体" w:eastAsia="宋体" w:cs="宋体"/>
              <w:i w:val="0"/>
              <w:iCs w:val="0"/>
              <w:caps w:val="0"/>
              <w:spacing w:val="0"/>
              <w:szCs w:val="24"/>
              <w:shd w:val="clear" w:color="auto" w:fill="auto"/>
              <w:lang w:val="en-US" w:eastAsia="zh-CN"/>
            </w:rPr>
            <w:instrText xml:space="preserve"> HYPERLINK \l _Toc29548 </w:instrText>
          </w:r>
          <w:r>
            <w:rPr>
              <w:rFonts w:hint="eastAsia" w:ascii="宋体" w:hAnsi="宋体" w:eastAsia="宋体" w:cs="宋体"/>
              <w:i w:val="0"/>
              <w:iCs w:val="0"/>
              <w:caps w:val="0"/>
              <w:spacing w:val="0"/>
              <w:szCs w:val="24"/>
              <w:shd w:val="clear" w:color="auto" w:fill="auto"/>
              <w:lang w:val="en-US" w:eastAsia="zh-CN"/>
            </w:rPr>
            <w:fldChar w:fldCharType="separate"/>
          </w:r>
          <w:r>
            <w:rPr>
              <w:rFonts w:hint="default" w:ascii="Times New Roman" w:hAnsi="Times New Roman" w:eastAsia="宋体" w:cs="Times New Roman"/>
              <w:bCs/>
              <w:spacing w:val="6"/>
              <w:szCs w:val="24"/>
              <w:lang w:eastAsia="zh-CN"/>
            </w:rPr>
            <w:t>（</w:t>
          </w:r>
          <w:r>
            <w:rPr>
              <w:rFonts w:hint="eastAsia" w:ascii="Times New Roman" w:hAnsi="Times New Roman" w:eastAsia="宋体" w:cs="Times New Roman"/>
              <w:bCs/>
              <w:spacing w:val="6"/>
              <w:szCs w:val="24"/>
              <w:lang w:val="en-US" w:eastAsia="zh-CN"/>
            </w:rPr>
            <w:t>4</w:t>
          </w:r>
          <w:r>
            <w:rPr>
              <w:rFonts w:hint="default" w:ascii="Times New Roman" w:hAnsi="Times New Roman" w:eastAsia="宋体" w:cs="Times New Roman"/>
              <w:bCs/>
              <w:spacing w:val="6"/>
              <w:szCs w:val="24"/>
              <w:lang w:val="en-US" w:eastAsia="zh-CN"/>
            </w:rPr>
            <w:t>）合宪解释</w:t>
          </w:r>
          <w:r>
            <w:tab/>
          </w:r>
          <w:r>
            <w:fldChar w:fldCharType="begin"/>
          </w:r>
          <w:r>
            <w:instrText xml:space="preserve"> PAGEREF _Toc29548 \h </w:instrText>
          </w:r>
          <w:r>
            <w:fldChar w:fldCharType="separate"/>
          </w:r>
          <w:r>
            <w:t>4</w:t>
          </w:r>
          <w:r>
            <w:fldChar w:fldCharType="end"/>
          </w:r>
          <w:r>
            <w:rPr>
              <w:rFonts w:hint="eastAsia" w:ascii="宋体" w:hAnsi="宋体" w:eastAsia="宋体" w:cs="宋体"/>
              <w:i w:val="0"/>
              <w:iCs w:val="0"/>
              <w:caps w:val="0"/>
              <w:spacing w:val="0"/>
              <w:szCs w:val="24"/>
              <w:shd w:val="clear" w:color="auto" w:fill="auto"/>
              <w:lang w:val="en-US" w:eastAsia="zh-CN"/>
            </w:rPr>
            <w:fldChar w:fldCharType="end"/>
          </w:r>
        </w:p>
        <w:p w14:paraId="4DE8670C">
          <w:pPr>
            <w:pStyle w:val="7"/>
            <w:tabs>
              <w:tab w:val="right" w:leader="dot" w:pos="8306"/>
            </w:tabs>
          </w:pPr>
          <w:r>
            <w:rPr>
              <w:rFonts w:hint="eastAsia" w:ascii="宋体" w:hAnsi="宋体" w:eastAsia="宋体" w:cs="宋体"/>
              <w:i w:val="0"/>
              <w:iCs w:val="0"/>
              <w:caps w:val="0"/>
              <w:spacing w:val="0"/>
              <w:szCs w:val="24"/>
              <w:shd w:val="clear" w:color="auto" w:fill="auto"/>
              <w:lang w:val="en-US" w:eastAsia="zh-CN"/>
            </w:rPr>
            <w:fldChar w:fldCharType="begin"/>
          </w:r>
          <w:r>
            <w:rPr>
              <w:rFonts w:hint="eastAsia" w:ascii="宋体" w:hAnsi="宋体" w:eastAsia="宋体" w:cs="宋体"/>
              <w:i w:val="0"/>
              <w:iCs w:val="0"/>
              <w:caps w:val="0"/>
              <w:spacing w:val="0"/>
              <w:szCs w:val="24"/>
              <w:shd w:val="clear" w:color="auto" w:fill="auto"/>
              <w:lang w:val="en-US" w:eastAsia="zh-CN"/>
            </w:rPr>
            <w:instrText xml:space="preserve"> HYPERLINK \l _Toc23619 </w:instrText>
          </w:r>
          <w:r>
            <w:rPr>
              <w:rFonts w:hint="eastAsia" w:ascii="宋体" w:hAnsi="宋体" w:eastAsia="宋体" w:cs="宋体"/>
              <w:i w:val="0"/>
              <w:iCs w:val="0"/>
              <w:caps w:val="0"/>
              <w:spacing w:val="0"/>
              <w:szCs w:val="24"/>
              <w:shd w:val="clear" w:color="auto" w:fill="auto"/>
              <w:lang w:val="en-US" w:eastAsia="zh-CN"/>
            </w:rPr>
            <w:fldChar w:fldCharType="separate"/>
          </w:r>
          <w:r>
            <w:rPr>
              <w:rFonts w:hint="default" w:ascii="Times New Roman" w:hAnsi="Times New Roman" w:eastAsia="宋体" w:cs="Times New Roman"/>
              <w:bCs/>
              <w:spacing w:val="3"/>
              <w:szCs w:val="24"/>
              <w:lang w:val="en-US" w:eastAsia="zh-CN"/>
            </w:rPr>
            <w:t>（5）目的性限缩</w:t>
          </w:r>
          <w:r>
            <w:tab/>
          </w:r>
          <w:r>
            <w:fldChar w:fldCharType="begin"/>
          </w:r>
          <w:r>
            <w:instrText xml:space="preserve"> PAGEREF _Toc23619 \h </w:instrText>
          </w:r>
          <w:r>
            <w:fldChar w:fldCharType="separate"/>
          </w:r>
          <w:r>
            <w:t>5</w:t>
          </w:r>
          <w:r>
            <w:fldChar w:fldCharType="end"/>
          </w:r>
          <w:r>
            <w:rPr>
              <w:rFonts w:hint="eastAsia" w:ascii="宋体" w:hAnsi="宋体" w:eastAsia="宋体" w:cs="宋体"/>
              <w:i w:val="0"/>
              <w:iCs w:val="0"/>
              <w:caps w:val="0"/>
              <w:spacing w:val="0"/>
              <w:szCs w:val="24"/>
              <w:shd w:val="clear" w:color="auto" w:fill="auto"/>
              <w:lang w:val="en-US" w:eastAsia="zh-CN"/>
            </w:rPr>
            <w:fldChar w:fldCharType="end"/>
          </w:r>
        </w:p>
        <w:p w14:paraId="18FB9B98">
          <w:pPr>
            <w:pStyle w:val="5"/>
            <w:tabs>
              <w:tab w:val="right" w:leader="dot" w:pos="8306"/>
            </w:tabs>
          </w:pPr>
          <w:r>
            <w:rPr>
              <w:rFonts w:hint="eastAsia" w:ascii="宋体" w:hAnsi="宋体" w:eastAsia="宋体" w:cs="宋体"/>
              <w:i w:val="0"/>
              <w:iCs w:val="0"/>
              <w:caps w:val="0"/>
              <w:spacing w:val="0"/>
              <w:szCs w:val="24"/>
              <w:shd w:val="clear" w:color="auto" w:fill="auto"/>
              <w:lang w:val="en-US" w:eastAsia="zh-CN"/>
            </w:rPr>
            <w:fldChar w:fldCharType="begin"/>
          </w:r>
          <w:r>
            <w:rPr>
              <w:rFonts w:hint="eastAsia" w:ascii="宋体" w:hAnsi="宋体" w:eastAsia="宋体" w:cs="宋体"/>
              <w:i w:val="0"/>
              <w:iCs w:val="0"/>
              <w:caps w:val="0"/>
              <w:spacing w:val="0"/>
              <w:szCs w:val="24"/>
              <w:shd w:val="clear" w:color="auto" w:fill="auto"/>
              <w:lang w:val="en-US" w:eastAsia="zh-CN"/>
            </w:rPr>
            <w:instrText xml:space="preserve"> HYPERLINK \l _Toc3566 </w:instrText>
          </w:r>
          <w:r>
            <w:rPr>
              <w:rFonts w:hint="eastAsia" w:ascii="宋体" w:hAnsi="宋体" w:eastAsia="宋体" w:cs="宋体"/>
              <w:i w:val="0"/>
              <w:iCs w:val="0"/>
              <w:caps w:val="0"/>
              <w:spacing w:val="0"/>
              <w:szCs w:val="24"/>
              <w:shd w:val="clear" w:color="auto" w:fill="auto"/>
              <w:lang w:val="en-US" w:eastAsia="zh-CN"/>
            </w:rPr>
            <w:fldChar w:fldCharType="separate"/>
          </w:r>
          <w:r>
            <w:rPr>
              <w:rFonts w:hint="default" w:ascii="Times New Roman" w:hAnsi="Times New Roman" w:eastAsia="宋体" w:cs="Times New Roman"/>
              <w:bCs/>
              <w:spacing w:val="3"/>
              <w:szCs w:val="28"/>
              <w:lang w:val="en-US" w:eastAsia="zh-CN"/>
            </w:rPr>
            <w:t>三、结语</w:t>
          </w:r>
          <w:r>
            <w:tab/>
          </w:r>
          <w:r>
            <w:fldChar w:fldCharType="begin"/>
          </w:r>
          <w:r>
            <w:instrText xml:space="preserve"> PAGEREF _Toc3566 \h </w:instrText>
          </w:r>
          <w:r>
            <w:fldChar w:fldCharType="separate"/>
          </w:r>
          <w:r>
            <w:t>5</w:t>
          </w:r>
          <w:r>
            <w:fldChar w:fldCharType="end"/>
          </w:r>
          <w:r>
            <w:rPr>
              <w:rFonts w:hint="eastAsia" w:ascii="宋体" w:hAnsi="宋体" w:eastAsia="宋体" w:cs="宋体"/>
              <w:i w:val="0"/>
              <w:iCs w:val="0"/>
              <w:caps w:val="0"/>
              <w:spacing w:val="0"/>
              <w:szCs w:val="24"/>
              <w:shd w:val="clear" w:color="auto" w:fill="auto"/>
              <w:lang w:val="en-US" w:eastAsia="zh-CN"/>
            </w:rPr>
            <w:fldChar w:fldCharType="end"/>
          </w:r>
        </w:p>
        <w:p w14:paraId="1D9FB242">
          <w:pPr>
            <w:rPr>
              <w:rFonts w:hint="eastAsia" w:ascii="宋体" w:hAnsi="宋体" w:eastAsia="宋体" w:cs="宋体"/>
              <w:i w:val="0"/>
              <w:iCs w:val="0"/>
              <w:caps w:val="0"/>
              <w:spacing w:val="0"/>
              <w:kern w:val="2"/>
              <w:sz w:val="21"/>
              <w:szCs w:val="24"/>
              <w:shd w:val="clear" w:color="auto" w:fill="auto"/>
              <w:lang w:val="en-US" w:eastAsia="zh-CN" w:bidi="ar-SA"/>
            </w:rPr>
          </w:pPr>
          <w:r>
            <w:rPr>
              <w:rFonts w:hint="eastAsia" w:ascii="宋体" w:hAnsi="宋体" w:eastAsia="宋体" w:cs="宋体"/>
              <w:i w:val="0"/>
              <w:iCs w:val="0"/>
              <w:caps w:val="0"/>
              <w:spacing w:val="0"/>
              <w:szCs w:val="24"/>
              <w:shd w:val="clear" w:color="auto" w:fill="auto"/>
              <w:lang w:val="en-US" w:eastAsia="zh-CN"/>
            </w:rPr>
            <w:fldChar w:fldCharType="end"/>
          </w:r>
        </w:p>
      </w:sdtContent>
    </w:sdt>
    <w:p w14:paraId="56D96B66">
      <w:pPr>
        <w:rPr>
          <w:rFonts w:hint="eastAsia" w:ascii="宋体" w:hAnsi="宋体" w:eastAsia="宋体" w:cs="宋体"/>
          <w:i w:val="0"/>
          <w:iCs w:val="0"/>
          <w:caps w:val="0"/>
          <w:spacing w:val="0"/>
          <w:kern w:val="2"/>
          <w:sz w:val="21"/>
          <w:szCs w:val="24"/>
          <w:shd w:val="clear" w:color="auto" w:fill="auto"/>
          <w:lang w:val="en-US" w:eastAsia="zh-CN" w:bidi="ar-SA"/>
        </w:rPr>
      </w:pPr>
      <w:r>
        <w:rPr>
          <w:rFonts w:hint="eastAsia" w:ascii="宋体" w:hAnsi="宋体" w:eastAsia="宋体" w:cs="宋体"/>
          <w:i w:val="0"/>
          <w:iCs w:val="0"/>
          <w:caps w:val="0"/>
          <w:spacing w:val="0"/>
          <w:kern w:val="2"/>
          <w:sz w:val="21"/>
          <w:szCs w:val="24"/>
          <w:shd w:val="clear" w:color="auto" w:fill="auto"/>
          <w:lang w:val="en-US" w:eastAsia="zh-CN" w:bidi="ar-SA"/>
        </w:rPr>
        <w:br w:type="page"/>
      </w:r>
      <w:bookmarkStart w:id="9" w:name="_GoBack"/>
      <w:bookmarkEnd w:id="9"/>
    </w:p>
    <w:p w14:paraId="4DE8AC39">
      <w:pPr>
        <w:rPr>
          <w:rFonts w:hint="eastAsia" w:ascii="宋体" w:hAnsi="宋体" w:eastAsia="宋体" w:cs="宋体"/>
          <w:i w:val="0"/>
          <w:iCs w:val="0"/>
          <w:caps w:val="0"/>
          <w:spacing w:val="0"/>
          <w:kern w:val="2"/>
          <w:sz w:val="21"/>
          <w:szCs w:val="24"/>
          <w:shd w:val="clear" w:color="auto" w:fill="auto"/>
          <w:lang w:val="en-US" w:eastAsia="zh-CN" w:bidi="ar-SA"/>
        </w:rPr>
      </w:pPr>
    </w:p>
    <w:p w14:paraId="5522DB2E">
      <w:pPr>
        <w:spacing w:line="240" w:lineRule="auto"/>
        <w:ind w:right="0" w:rightChars="0" w:firstLine="562" w:firstLineChars="200"/>
        <w:jc w:val="both"/>
        <w:outlineLvl w:val="0"/>
        <w:rPr>
          <w:rFonts w:hint="default" w:ascii="Times New Roman" w:hAnsi="Times New Roman" w:eastAsia="宋体" w:cs="Times New Roman"/>
          <w:b/>
          <w:bCs/>
          <w:sz w:val="28"/>
          <w:szCs w:val="28"/>
          <w:lang w:val="en-US" w:eastAsia="zh-CN"/>
        </w:rPr>
      </w:pPr>
      <w:bookmarkStart w:id="1" w:name="_Toc23140"/>
      <w:r>
        <w:rPr>
          <w:rFonts w:hint="default" w:ascii="Times New Roman" w:hAnsi="Times New Roman" w:eastAsia="宋体" w:cs="Times New Roman"/>
          <w:b/>
          <w:bCs/>
          <w:sz w:val="28"/>
          <w:szCs w:val="28"/>
          <w:lang w:val="en-US" w:eastAsia="zh-CN"/>
        </w:rPr>
        <w:t>一、引言</w:t>
      </w:r>
      <w:bookmarkEnd w:id="1"/>
    </w:p>
    <w:p w14:paraId="129D3DBA">
      <w:pPr>
        <w:spacing w:line="240" w:lineRule="auto"/>
        <w:ind w:right="0" w:firstLine="480" w:firstLineChars="200"/>
        <w:jc w:val="both"/>
        <w:rPr>
          <w:rFonts w:hint="eastAsia" w:ascii="宋体" w:hAnsi="宋体" w:eastAsia="宋体" w:cs="宋体"/>
          <w:b w:val="0"/>
          <w:bCs w:val="0"/>
          <w:spacing w:val="-7"/>
          <w:sz w:val="24"/>
          <w:szCs w:val="24"/>
          <w:lang w:val="en-US" w:eastAsia="zh-CN"/>
        </w:rPr>
      </w:pPr>
      <w:r>
        <w:rPr>
          <w:rFonts w:hint="eastAsia" w:ascii="宋体" w:hAnsi="宋体" w:eastAsia="宋体" w:cs="宋体"/>
          <w:b w:val="0"/>
          <w:bCs w:val="0"/>
          <w:sz w:val="24"/>
          <w:szCs w:val="24"/>
          <w:lang w:val="en-US" w:eastAsia="zh-CN"/>
        </w:rPr>
        <w:t>在《法学方法论》序言中，作者就提及“</w:t>
      </w:r>
      <w:r>
        <w:rPr>
          <w:rFonts w:hint="eastAsia" w:ascii="宋体" w:hAnsi="宋体" w:eastAsia="宋体" w:cs="宋体"/>
          <w:b w:val="0"/>
          <w:bCs w:val="0"/>
          <w:sz w:val="24"/>
          <w:szCs w:val="24"/>
        </w:rPr>
        <w:t>清末民初，西学东渐，医学、工程学与法学相继</w:t>
      </w:r>
      <w:r>
        <w:rPr>
          <w:rFonts w:hint="eastAsia" w:ascii="宋体" w:hAnsi="宋体" w:eastAsia="宋体" w:cs="宋体"/>
          <w:b w:val="0"/>
          <w:bCs w:val="0"/>
          <w:spacing w:val="3"/>
          <w:sz w:val="24"/>
          <w:szCs w:val="24"/>
        </w:rPr>
        <w:t>发轫，起点相若。顾七十余年来，医学、工程学早自“医生"、“工匠”阶段起飞，进步一日千里；独法学犹邯郸</w:t>
      </w:r>
      <w:r>
        <w:rPr>
          <w:rFonts w:hint="eastAsia" w:ascii="宋体" w:hAnsi="宋体" w:eastAsia="宋体" w:cs="宋体"/>
          <w:b w:val="0"/>
          <w:bCs w:val="0"/>
          <w:sz w:val="24"/>
          <w:szCs w:val="24"/>
        </w:rPr>
        <w:t xml:space="preserve"> 学步，笼罩在概念法学阴影之下，良堪浩叹。</w:t>
      </w:r>
      <w:r>
        <w:rPr>
          <w:rFonts w:hint="eastAsia" w:ascii="宋体" w:hAnsi="宋体" w:eastAsia="宋体" w:cs="宋体"/>
          <w:b w:val="0"/>
          <w:bCs w:val="0"/>
          <w:sz w:val="24"/>
          <w:szCs w:val="24"/>
          <w:lang w:eastAsia="zh-CN"/>
        </w:rPr>
        <w:t>”</w:t>
      </w:r>
      <w:r>
        <w:rPr>
          <w:rStyle w:val="10"/>
          <w:rFonts w:hint="eastAsia" w:ascii="宋体" w:hAnsi="宋体" w:eastAsia="宋体" w:cs="宋体"/>
          <w:b w:val="0"/>
          <w:bCs w:val="0"/>
          <w:sz w:val="24"/>
          <w:szCs w:val="24"/>
          <w:lang w:eastAsia="zh-CN"/>
        </w:rPr>
        <w:t>[</w:t>
      </w:r>
      <w:r>
        <w:rPr>
          <w:rStyle w:val="10"/>
          <w:rFonts w:hint="eastAsia" w:ascii="宋体" w:hAnsi="宋体" w:eastAsia="宋体" w:cs="宋体"/>
          <w:b w:val="0"/>
          <w:bCs w:val="0"/>
          <w:sz w:val="24"/>
          <w:szCs w:val="24"/>
          <w:lang w:eastAsia="zh-CN"/>
        </w:rPr>
        <w:footnoteReference w:id="0"/>
      </w:r>
      <w:r>
        <w:rPr>
          <w:rStyle w:val="10"/>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作者认为造成这种局面的原因是习法者大多不知道什么是法学方法，工无利器，自然不能善其事。由此可见，作为一名法学生，充分学习法学方法是至关重要的，作者在26年后的第二版序言中将这种帮助概括为“</w:t>
      </w:r>
      <w:r>
        <w:rPr>
          <w:rFonts w:hint="eastAsia" w:ascii="宋体" w:hAnsi="宋体" w:eastAsia="宋体" w:cs="宋体"/>
          <w:b w:val="0"/>
          <w:bCs w:val="0"/>
          <w:spacing w:val="2"/>
          <w:sz w:val="24"/>
          <w:szCs w:val="24"/>
        </w:rPr>
        <w:t>不仅能尽速登门入室，窥其堂奥</w:t>
      </w:r>
      <w:r>
        <w:rPr>
          <w:rFonts w:hint="eastAsia" w:ascii="宋体" w:hAnsi="宋体" w:eastAsia="宋体" w:cs="宋体"/>
          <w:b w:val="0"/>
          <w:bCs w:val="0"/>
          <w:spacing w:val="2"/>
          <w:sz w:val="24"/>
          <w:szCs w:val="24"/>
          <w:lang w:eastAsia="zh-CN"/>
        </w:rPr>
        <w:t>，</w:t>
      </w:r>
      <w:r>
        <w:rPr>
          <w:rFonts w:hint="eastAsia" w:ascii="宋体" w:hAnsi="宋体" w:eastAsia="宋体" w:cs="宋体"/>
          <w:b w:val="0"/>
          <w:bCs w:val="0"/>
          <w:spacing w:val="2"/>
          <w:sz w:val="24"/>
          <w:szCs w:val="24"/>
        </w:rPr>
        <w:t>亦可节省摸索时光，乃至减却彷徨</w:t>
      </w:r>
      <w:r>
        <w:rPr>
          <w:rFonts w:hint="eastAsia" w:ascii="宋体" w:hAnsi="宋体" w:eastAsia="宋体" w:cs="宋体"/>
          <w:b w:val="0"/>
          <w:bCs w:val="0"/>
          <w:spacing w:val="-7"/>
          <w:sz w:val="24"/>
          <w:szCs w:val="24"/>
        </w:rPr>
        <w:t>无助之情形。</w:t>
      </w:r>
      <w:r>
        <w:rPr>
          <w:rFonts w:hint="eastAsia" w:ascii="宋体" w:hAnsi="宋体" w:eastAsia="宋体" w:cs="宋体"/>
          <w:b w:val="0"/>
          <w:bCs w:val="0"/>
          <w:spacing w:val="-7"/>
          <w:sz w:val="24"/>
          <w:szCs w:val="24"/>
          <w:lang w:eastAsia="zh-CN"/>
        </w:rPr>
        <w:t>”</w:t>
      </w:r>
      <w:r>
        <w:rPr>
          <w:rStyle w:val="10"/>
          <w:rFonts w:hint="eastAsia" w:ascii="宋体" w:hAnsi="宋体" w:eastAsia="宋体" w:cs="宋体"/>
          <w:b w:val="0"/>
          <w:bCs w:val="0"/>
          <w:spacing w:val="-7"/>
          <w:sz w:val="24"/>
          <w:szCs w:val="24"/>
          <w:lang w:eastAsia="zh-CN"/>
        </w:rPr>
        <w:t>[</w:t>
      </w:r>
      <w:r>
        <w:rPr>
          <w:rStyle w:val="10"/>
          <w:rFonts w:hint="eastAsia" w:ascii="宋体" w:hAnsi="宋体" w:eastAsia="宋体" w:cs="宋体"/>
          <w:b w:val="0"/>
          <w:bCs w:val="0"/>
          <w:spacing w:val="-7"/>
          <w:sz w:val="24"/>
          <w:szCs w:val="24"/>
          <w:lang w:eastAsia="zh-CN"/>
        </w:rPr>
        <w:footnoteReference w:id="1"/>
      </w:r>
      <w:r>
        <w:rPr>
          <w:rStyle w:val="10"/>
          <w:rFonts w:hint="eastAsia" w:ascii="宋体" w:hAnsi="宋体" w:eastAsia="宋体" w:cs="宋体"/>
          <w:b w:val="0"/>
          <w:bCs w:val="0"/>
          <w:spacing w:val="-7"/>
          <w:sz w:val="24"/>
          <w:szCs w:val="24"/>
          <w:lang w:eastAsia="zh-CN"/>
        </w:rPr>
        <w:t>]</w:t>
      </w:r>
      <w:r>
        <w:rPr>
          <w:rFonts w:hint="eastAsia" w:ascii="宋体" w:hAnsi="宋体" w:eastAsia="宋体" w:cs="宋体"/>
          <w:b w:val="0"/>
          <w:bCs w:val="0"/>
          <w:spacing w:val="-7"/>
          <w:sz w:val="24"/>
          <w:szCs w:val="24"/>
          <w:lang w:val="en-US" w:eastAsia="zh-CN"/>
        </w:rPr>
        <w:t>一个序言就令我感触颇深，怀着对杨老的敬佩之情，我开始阅读这部法学经典。</w:t>
      </w:r>
    </w:p>
    <w:p w14:paraId="65D06901">
      <w:pPr>
        <w:spacing w:line="240" w:lineRule="auto"/>
        <w:ind w:right="0" w:firstLine="452" w:firstLineChars="200"/>
        <w:jc w:val="both"/>
        <w:rPr>
          <w:rFonts w:hint="eastAsia" w:ascii="宋体" w:hAnsi="宋体" w:eastAsia="宋体" w:cs="宋体"/>
          <w:b w:val="0"/>
          <w:bCs w:val="0"/>
          <w:spacing w:val="15"/>
          <w:sz w:val="21"/>
          <w:szCs w:val="21"/>
          <w:lang w:val="en-US" w:eastAsia="zh-CN"/>
        </w:rPr>
      </w:pPr>
      <w:r>
        <w:rPr>
          <w:rFonts w:hint="eastAsia" w:ascii="宋体" w:hAnsi="宋体" w:eastAsia="宋体" w:cs="宋体"/>
          <w:b w:val="0"/>
          <w:bCs w:val="0"/>
          <w:spacing w:val="-7"/>
          <w:sz w:val="24"/>
          <w:szCs w:val="24"/>
          <w:lang w:val="en-US" w:eastAsia="zh-CN"/>
        </w:rPr>
        <w:t>引论第一章作者用诽韩案讨论了“概念法学”，此案的法官笼罩在概念法学的阴影之下，只专注于概念逻辑而没有运用智慧，结果闹了笑话。反对概念法学的观点包括认为概念法学在认识论和逻辑上幼稚、价值混乱、与生活隔绝、忽视超实证法以及普遍地过分夸大纯粹法教义学的意义。</w:t>
      </w:r>
      <w:r>
        <w:rPr>
          <w:rStyle w:val="10"/>
          <w:rFonts w:hint="eastAsia" w:ascii="宋体" w:hAnsi="宋体" w:eastAsia="宋体" w:cs="宋体"/>
          <w:b w:val="0"/>
          <w:bCs w:val="0"/>
          <w:spacing w:val="-7"/>
          <w:sz w:val="24"/>
          <w:szCs w:val="24"/>
          <w:lang w:val="en-US" w:eastAsia="zh-CN"/>
        </w:rPr>
        <w:t>[</w:t>
      </w:r>
      <w:r>
        <w:rPr>
          <w:rStyle w:val="10"/>
          <w:rFonts w:hint="eastAsia" w:ascii="宋体" w:hAnsi="宋体" w:eastAsia="宋体" w:cs="宋体"/>
          <w:b w:val="0"/>
          <w:bCs w:val="0"/>
          <w:spacing w:val="-7"/>
          <w:sz w:val="24"/>
          <w:szCs w:val="24"/>
          <w:lang w:val="en-US" w:eastAsia="zh-CN"/>
        </w:rPr>
        <w:footnoteReference w:id="2"/>
      </w:r>
      <w:r>
        <w:rPr>
          <w:rStyle w:val="10"/>
          <w:rFonts w:hint="eastAsia" w:ascii="宋体" w:hAnsi="宋体" w:eastAsia="宋体" w:cs="宋体"/>
          <w:b w:val="0"/>
          <w:bCs w:val="0"/>
          <w:spacing w:val="-7"/>
          <w:sz w:val="24"/>
          <w:szCs w:val="24"/>
          <w:lang w:val="en-US" w:eastAsia="zh-CN"/>
        </w:rPr>
        <w:t>]</w:t>
      </w:r>
      <w:r>
        <w:rPr>
          <w:rFonts w:hint="eastAsia" w:ascii="宋体" w:hAnsi="宋体" w:eastAsia="宋体" w:cs="宋体"/>
          <w:b w:val="0"/>
          <w:bCs w:val="0"/>
          <w:spacing w:val="-7"/>
          <w:sz w:val="24"/>
          <w:szCs w:val="24"/>
          <w:lang w:val="en-US" w:eastAsia="zh-CN"/>
        </w:rPr>
        <w:t>作者认为本案中法官机械的推定了“直系血亲”这一概念，有关直系血亲，在</w:t>
      </w:r>
      <w:r>
        <w:rPr>
          <w:rFonts w:hint="eastAsia" w:ascii="宋体" w:hAnsi="宋体" w:eastAsia="宋体" w:cs="宋体"/>
          <w:b w:val="0"/>
          <w:bCs w:val="0"/>
          <w:spacing w:val="13"/>
          <w:sz w:val="24"/>
          <w:szCs w:val="24"/>
        </w:rPr>
        <w:t>刑事诉讼法第二百三十四</w:t>
      </w:r>
      <w:r>
        <w:rPr>
          <w:rFonts w:hint="eastAsia" w:ascii="宋体" w:hAnsi="宋体" w:eastAsia="宋体" w:cs="宋体"/>
          <w:b w:val="0"/>
          <w:bCs w:val="0"/>
          <w:spacing w:val="12"/>
          <w:sz w:val="24"/>
          <w:szCs w:val="24"/>
        </w:rPr>
        <w:t>条第五项</w:t>
      </w:r>
      <w:r>
        <w:rPr>
          <w:rFonts w:hint="eastAsia" w:ascii="宋体" w:hAnsi="宋体" w:eastAsia="宋体" w:cs="宋体"/>
          <w:b w:val="0"/>
          <w:bCs w:val="0"/>
          <w:spacing w:val="12"/>
          <w:sz w:val="24"/>
          <w:szCs w:val="24"/>
          <w:lang w:val="en-US" w:eastAsia="zh-CN"/>
        </w:rPr>
        <w:t>的规定中有漏洞，但是法官并没有填补，作者认为是</w:t>
      </w:r>
      <w:r>
        <w:rPr>
          <w:rFonts w:hint="eastAsia" w:ascii="宋体" w:hAnsi="宋体" w:eastAsia="宋体" w:cs="宋体"/>
          <w:b w:val="0"/>
          <w:bCs w:val="0"/>
          <w:spacing w:val="10"/>
          <w:sz w:val="24"/>
          <w:szCs w:val="24"/>
        </w:rPr>
        <w:t>我法律教育向来不重视“基础法学”</w:t>
      </w:r>
      <w:r>
        <w:rPr>
          <w:rFonts w:hint="eastAsia" w:ascii="宋体" w:hAnsi="宋体" w:eastAsia="宋体" w:cs="宋体"/>
          <w:b w:val="0"/>
          <w:bCs w:val="0"/>
          <w:spacing w:val="3"/>
          <w:sz w:val="24"/>
          <w:szCs w:val="24"/>
        </w:rPr>
        <w:t>所致</w:t>
      </w:r>
      <w:r>
        <w:rPr>
          <w:rFonts w:hint="eastAsia" w:ascii="宋体" w:hAnsi="宋体" w:eastAsia="宋体" w:cs="宋体"/>
          <w:b w:val="0"/>
          <w:bCs w:val="0"/>
          <w:spacing w:val="3"/>
          <w:sz w:val="24"/>
          <w:szCs w:val="24"/>
          <w:lang w:eastAsia="zh-CN"/>
        </w:rPr>
        <w:t>，</w:t>
      </w:r>
      <w:r>
        <w:rPr>
          <w:rFonts w:hint="eastAsia" w:ascii="宋体" w:hAnsi="宋体" w:eastAsia="宋体" w:cs="宋体"/>
          <w:b w:val="0"/>
          <w:bCs w:val="0"/>
          <w:spacing w:val="3"/>
          <w:sz w:val="24"/>
          <w:szCs w:val="24"/>
          <w:lang w:val="en-US" w:eastAsia="zh-CN"/>
        </w:rPr>
        <w:t>我认为这属于上述反对概念法学中的认为概念法学在认识论和逻辑上幼稚的观点。同时，作者也给出了解决之法——目的性限缩，并在最后总结“</w:t>
      </w:r>
      <w:r>
        <w:rPr>
          <w:rFonts w:hint="eastAsia" w:ascii="宋体" w:hAnsi="宋体" w:eastAsia="宋体" w:cs="宋体"/>
          <w:b w:val="0"/>
          <w:bCs w:val="0"/>
          <w:sz w:val="24"/>
          <w:szCs w:val="24"/>
        </w:rPr>
        <w:t>法官必具有法学方法之素养，始</w:t>
      </w:r>
      <w:r>
        <w:rPr>
          <w:rFonts w:hint="eastAsia" w:ascii="宋体" w:hAnsi="宋体" w:eastAsia="宋体" w:cs="宋体"/>
          <w:b w:val="0"/>
          <w:bCs w:val="0"/>
          <w:spacing w:val="15"/>
          <w:sz w:val="24"/>
          <w:szCs w:val="24"/>
        </w:rPr>
        <w:t>为适格</w:t>
      </w:r>
      <w:r>
        <w:rPr>
          <w:rFonts w:hint="eastAsia" w:ascii="宋体" w:hAnsi="宋体" w:eastAsia="宋体" w:cs="宋体"/>
          <w:b w:val="0"/>
          <w:bCs w:val="0"/>
          <w:spacing w:val="15"/>
          <w:sz w:val="24"/>
          <w:szCs w:val="24"/>
          <w:lang w:eastAsia="zh-CN"/>
        </w:rPr>
        <w:t>”，</w:t>
      </w:r>
      <w:r>
        <w:rPr>
          <w:rFonts w:hint="eastAsia" w:ascii="宋体" w:hAnsi="宋体" w:eastAsia="宋体" w:cs="宋体"/>
          <w:b w:val="0"/>
          <w:bCs w:val="0"/>
          <w:spacing w:val="15"/>
          <w:sz w:val="24"/>
          <w:szCs w:val="24"/>
          <w:lang w:val="en-US" w:eastAsia="zh-CN"/>
        </w:rPr>
        <w:t>与序言中的精神一致，可见作者对于法学方法之于法学人的重要性的极高肯定，这是这本书给我上的第一课。</w:t>
      </w:r>
    </w:p>
    <w:p w14:paraId="48E19369">
      <w:pPr>
        <w:numPr>
          <w:ilvl w:val="0"/>
          <w:numId w:val="1"/>
        </w:numPr>
        <w:spacing w:line="240" w:lineRule="auto"/>
        <w:ind w:right="0" w:rightChars="0" w:firstLine="622" w:firstLineChars="200"/>
        <w:jc w:val="both"/>
        <w:outlineLvl w:val="0"/>
        <w:rPr>
          <w:rFonts w:hint="default" w:ascii="Times New Roman" w:hAnsi="Times New Roman" w:eastAsia="宋体" w:cs="Times New Roman"/>
          <w:b/>
          <w:bCs/>
          <w:spacing w:val="15"/>
          <w:sz w:val="28"/>
          <w:szCs w:val="28"/>
          <w:lang w:val="en-US" w:eastAsia="zh-CN"/>
        </w:rPr>
      </w:pPr>
      <w:bookmarkStart w:id="2" w:name="_Toc10456"/>
      <w:r>
        <w:rPr>
          <w:rFonts w:hint="default" w:ascii="Times New Roman" w:hAnsi="Times New Roman" w:eastAsia="宋体" w:cs="Times New Roman"/>
          <w:b/>
          <w:bCs/>
          <w:spacing w:val="15"/>
          <w:sz w:val="28"/>
          <w:szCs w:val="28"/>
          <w:lang w:val="en-US" w:eastAsia="zh-CN"/>
        </w:rPr>
        <w:t>对于第四编的分析</w:t>
      </w:r>
      <w:bookmarkEnd w:id="2"/>
    </w:p>
    <w:p w14:paraId="32CDCDB5">
      <w:pPr>
        <w:numPr>
          <w:ilvl w:val="0"/>
          <w:numId w:val="0"/>
        </w:numPr>
        <w:spacing w:line="240" w:lineRule="auto"/>
        <w:ind w:left="0" w:leftChars="0" w:right="0" w:rightChars="0" w:firstLine="542" w:firstLineChars="200"/>
        <w:jc w:val="both"/>
        <w:outlineLvl w:val="1"/>
        <w:rPr>
          <w:rFonts w:hint="default" w:ascii="Times New Roman" w:hAnsi="Times New Roman" w:eastAsia="宋体" w:cs="Times New Roman"/>
          <w:b/>
          <w:bCs/>
          <w:spacing w:val="15"/>
          <w:sz w:val="24"/>
          <w:szCs w:val="24"/>
          <w:lang w:val="en-US" w:eastAsia="zh-CN"/>
        </w:rPr>
      </w:pPr>
      <w:bookmarkStart w:id="3" w:name="_Toc2434"/>
      <w:r>
        <w:rPr>
          <w:rFonts w:hint="default" w:ascii="Times New Roman" w:hAnsi="Times New Roman" w:eastAsia="宋体" w:cs="Times New Roman"/>
          <w:b/>
          <w:bCs/>
          <w:spacing w:val="15"/>
          <w:sz w:val="24"/>
          <w:szCs w:val="24"/>
          <w:lang w:val="en-US" w:eastAsia="zh-CN"/>
        </w:rPr>
        <w:t>（1）法学研究法</w:t>
      </w:r>
      <w:bookmarkEnd w:id="3"/>
    </w:p>
    <w:p w14:paraId="77748ADA">
      <w:pPr>
        <w:spacing w:line="240" w:lineRule="auto"/>
        <w:ind w:right="0" w:firstLine="540" w:firstLineChars="200"/>
        <w:jc w:val="both"/>
        <w:rPr>
          <w:rFonts w:hint="default" w:ascii="宋体" w:hAnsi="宋体" w:eastAsia="宋体" w:cs="宋体"/>
          <w:spacing w:val="3"/>
          <w:sz w:val="24"/>
          <w:szCs w:val="24"/>
          <w:lang w:val="en-US" w:eastAsia="zh-CN"/>
        </w:rPr>
      </w:pPr>
      <w:r>
        <w:rPr>
          <w:rFonts w:hint="eastAsia" w:ascii="宋体" w:hAnsi="宋体" w:eastAsia="宋体" w:cs="宋体"/>
          <w:b w:val="0"/>
          <w:bCs w:val="0"/>
          <w:spacing w:val="15"/>
          <w:sz w:val="24"/>
          <w:szCs w:val="24"/>
          <w:lang w:val="en-US" w:eastAsia="zh-CN"/>
        </w:rPr>
        <w:t>给我感触最深的是第四编，第四编第一节法学之基本理论第一章研究法学之方法中指出研究法不能无视法律本身的目的与社会发展的动向，自由法学派否定法律万能，认为</w:t>
      </w:r>
      <w:r>
        <w:rPr>
          <w:rFonts w:ascii="宋体" w:hAnsi="宋体" w:eastAsia="宋体" w:cs="宋体"/>
          <w:spacing w:val="6"/>
          <w:sz w:val="24"/>
          <w:szCs w:val="24"/>
        </w:rPr>
        <w:t>拘泥于法文</w:t>
      </w:r>
      <w:r>
        <w:rPr>
          <w:rFonts w:ascii="宋体" w:hAnsi="宋体" w:eastAsia="宋体" w:cs="宋体"/>
          <w:spacing w:val="7"/>
          <w:sz w:val="24"/>
          <w:szCs w:val="24"/>
        </w:rPr>
        <w:t>的字句，将使法律僵化</w:t>
      </w:r>
      <w:r>
        <w:rPr>
          <w:rFonts w:hint="eastAsia" w:ascii="宋体" w:hAnsi="宋体" w:eastAsia="宋体" w:cs="宋体"/>
          <w:spacing w:val="7"/>
          <w:sz w:val="24"/>
          <w:szCs w:val="24"/>
          <w:lang w:val="en-US" w:eastAsia="zh-CN"/>
        </w:rPr>
        <w:t>而数去意义</w:t>
      </w:r>
      <w:r>
        <w:rPr>
          <w:rFonts w:ascii="宋体" w:hAnsi="宋体" w:eastAsia="宋体" w:cs="宋体"/>
          <w:spacing w:val="7"/>
          <w:sz w:val="24"/>
          <w:szCs w:val="24"/>
        </w:rPr>
        <w:t>，</w:t>
      </w:r>
      <w:r>
        <w:rPr>
          <w:rFonts w:hint="eastAsia" w:ascii="宋体" w:hAnsi="宋体" w:eastAsia="宋体" w:cs="宋体"/>
          <w:spacing w:val="7"/>
          <w:sz w:val="24"/>
          <w:szCs w:val="24"/>
          <w:lang w:val="en-US" w:eastAsia="zh-CN"/>
        </w:rPr>
        <w:t>因此</w:t>
      </w:r>
      <w:r>
        <w:rPr>
          <w:rFonts w:ascii="宋体" w:hAnsi="宋体" w:eastAsia="宋体" w:cs="宋体"/>
          <w:spacing w:val="7"/>
          <w:sz w:val="24"/>
          <w:szCs w:val="24"/>
        </w:rPr>
        <w:t>必须兼顾人类社会生活及经济的</w:t>
      </w:r>
      <w:r>
        <w:rPr>
          <w:rFonts w:ascii="宋体" w:hAnsi="宋体" w:eastAsia="宋体" w:cs="宋体"/>
          <w:spacing w:val="16"/>
          <w:sz w:val="24"/>
          <w:szCs w:val="24"/>
        </w:rPr>
        <w:t>层面，“自由”地发现法律之奥义，而后法律始克成为</w:t>
      </w:r>
      <w:r>
        <w:rPr>
          <w:rFonts w:ascii="宋体" w:hAnsi="宋体" w:eastAsia="宋体" w:cs="宋体"/>
          <w:spacing w:val="2"/>
          <w:sz w:val="24"/>
          <w:szCs w:val="24"/>
        </w:rPr>
        <w:t>“活生生”的法律。</w:t>
      </w:r>
      <w:r>
        <w:rPr>
          <w:rStyle w:val="10"/>
          <w:rFonts w:ascii="宋体" w:hAnsi="宋体" w:eastAsia="宋体" w:cs="宋体"/>
          <w:spacing w:val="2"/>
          <w:sz w:val="24"/>
          <w:szCs w:val="24"/>
        </w:rPr>
        <w:t>[</w:t>
      </w:r>
      <w:r>
        <w:rPr>
          <w:rStyle w:val="10"/>
          <w:rFonts w:ascii="宋体" w:hAnsi="宋体" w:eastAsia="宋体" w:cs="宋体"/>
          <w:spacing w:val="2"/>
          <w:sz w:val="24"/>
          <w:szCs w:val="24"/>
        </w:rPr>
        <w:footnoteReference w:id="3"/>
      </w:r>
      <w:r>
        <w:rPr>
          <w:rStyle w:val="10"/>
          <w:rFonts w:ascii="宋体" w:hAnsi="宋体" w:eastAsia="宋体" w:cs="宋体"/>
          <w:spacing w:val="2"/>
          <w:sz w:val="24"/>
          <w:szCs w:val="24"/>
        </w:rPr>
        <w:t>]</w:t>
      </w:r>
      <w:r>
        <w:rPr>
          <w:rFonts w:hint="eastAsia" w:ascii="宋体" w:hAnsi="宋体" w:eastAsia="宋体" w:cs="宋体"/>
          <w:spacing w:val="2"/>
          <w:sz w:val="24"/>
          <w:szCs w:val="24"/>
          <w:lang w:val="en-US" w:eastAsia="zh-CN"/>
        </w:rPr>
        <w:t>读完这一段，我对于法的研究的认识发生了很大的变化，在此之前，我认为研究法要专注于法律条文、规定本身，去深度理解法本身的逻辑和解释法的意涵，这种认知使我从一开始就站在法本身正确且合理的视角上去探究，现在想来其实是极为可怕的，我甚至可能为一个不甚合理的法律“辩护”，通过自我说服来解释一个法律的合理正当性，失去了我对于一件事物的智慧思考，但读完这一段后，我发现法律的规定只是表象，或者说只是法律所反映的一个维度，而法律折射出的其他维度也不可忽视，法律本身的意义何如，法律又如何与社会发展相适应，也是我在研究法的时候应当认真思考的。作者在其著作中精简概括了他的研究方法，“</w:t>
      </w:r>
      <w:r>
        <w:rPr>
          <w:rFonts w:ascii="宋体" w:hAnsi="宋体" w:eastAsia="宋体" w:cs="宋体"/>
          <w:spacing w:val="7"/>
          <w:sz w:val="24"/>
          <w:szCs w:val="24"/>
        </w:rPr>
        <w:t>一言</w:t>
      </w:r>
      <w:r>
        <w:rPr>
          <w:rFonts w:ascii="宋体" w:hAnsi="宋体" w:eastAsia="宋体" w:cs="宋体"/>
          <w:spacing w:val="3"/>
          <w:sz w:val="24"/>
          <w:szCs w:val="24"/>
        </w:rPr>
        <w:t>以蔽之，应以理论认识为基础，为实践的应用。</w:t>
      </w:r>
      <w:r>
        <w:rPr>
          <w:rFonts w:hint="eastAsia" w:ascii="宋体" w:hAnsi="宋体" w:eastAsia="宋体" w:cs="宋体"/>
          <w:spacing w:val="3"/>
          <w:sz w:val="24"/>
          <w:szCs w:val="24"/>
          <w:lang w:eastAsia="zh-CN"/>
        </w:rPr>
        <w:t>”</w:t>
      </w:r>
      <w:bookmarkStart w:id="4" w:name="_Toc31076"/>
      <w:r>
        <w:rPr>
          <w:rFonts w:hint="eastAsia" w:ascii="宋体" w:hAnsi="宋体" w:eastAsia="宋体" w:cs="宋体"/>
          <w:spacing w:val="3"/>
          <w:sz w:val="24"/>
          <w:szCs w:val="24"/>
          <w:lang w:val="en-US" w:eastAsia="zh-CN"/>
        </w:rPr>
        <w:t>这或许也与法律社会主义的观点相契合。</w:t>
      </w:r>
    </w:p>
    <w:p w14:paraId="4C0C8E60">
      <w:pPr>
        <w:numPr>
          <w:ilvl w:val="0"/>
          <w:numId w:val="2"/>
        </w:numPr>
        <w:spacing w:line="240" w:lineRule="auto"/>
        <w:ind w:right="0" w:rightChars="0" w:firstLine="494" w:firstLineChars="200"/>
        <w:jc w:val="both"/>
        <w:outlineLvl w:val="1"/>
        <w:rPr>
          <w:rFonts w:hint="eastAsia" w:ascii="Times New Roman" w:hAnsi="Times New Roman" w:eastAsia="宋体" w:cs="Times New Roman"/>
          <w:b/>
          <w:bCs/>
          <w:spacing w:val="3"/>
          <w:sz w:val="24"/>
          <w:szCs w:val="24"/>
          <w:lang w:val="en-US" w:eastAsia="zh-CN"/>
        </w:rPr>
      </w:pPr>
      <w:r>
        <w:rPr>
          <w:rFonts w:hint="default" w:ascii="Times New Roman" w:hAnsi="Times New Roman" w:eastAsia="宋体" w:cs="Times New Roman"/>
          <w:b/>
          <w:bCs/>
          <w:spacing w:val="3"/>
          <w:sz w:val="24"/>
          <w:szCs w:val="24"/>
          <w:lang w:val="en-US" w:eastAsia="zh-CN"/>
        </w:rPr>
        <w:t>法律解释</w:t>
      </w:r>
      <w:bookmarkEnd w:id="4"/>
    </w:p>
    <w:p w14:paraId="2E2C693E">
      <w:pPr>
        <w:numPr>
          <w:numId w:val="0"/>
        </w:numPr>
        <w:spacing w:line="240" w:lineRule="auto"/>
        <w:ind w:right="0" w:rightChars="0" w:firstLine="492" w:firstLineChars="200"/>
        <w:jc w:val="both"/>
        <w:outlineLvl w:val="1"/>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对于法律解释，作者概括出以下几个方面：1.解释之妥当性 2.解释之现在性 3.解释之创造性 4.解释之社会性。我认为后三点都是从妥当性这个点派生出来的，现在性中强调的与现今环境变化与价值判断所适配也好，创造性中强调的“</w:t>
      </w:r>
      <w:r>
        <w:rPr>
          <w:rFonts w:ascii="宋体" w:hAnsi="宋体" w:eastAsia="宋体" w:cs="宋体"/>
          <w:spacing w:val="3"/>
          <w:sz w:val="24"/>
          <w:szCs w:val="24"/>
        </w:rPr>
        <w:t>基于解释现在性之要求，必须创造最合乎目的性的理论解释</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也罢，都是对于法律解释的妥当性的追求，都是达成妥当性的过程中的手段。</w:t>
      </w:r>
    </w:p>
    <w:p w14:paraId="51E7C3A0">
      <w:pPr>
        <w:spacing w:before="68" w:line="296" w:lineRule="auto"/>
        <w:ind w:right="82" w:rightChars="0" w:firstLine="494" w:firstLineChars="200"/>
        <w:jc w:val="both"/>
        <w:outlineLvl w:val="1"/>
        <w:rPr>
          <w:rFonts w:hint="default" w:ascii="Times New Roman" w:hAnsi="Times New Roman" w:eastAsia="宋体" w:cs="Times New Roman"/>
          <w:b/>
          <w:bCs/>
          <w:spacing w:val="3"/>
          <w:sz w:val="24"/>
          <w:szCs w:val="24"/>
          <w:lang w:val="en-US" w:eastAsia="zh-CN"/>
        </w:rPr>
      </w:pPr>
      <w:bookmarkStart w:id="5" w:name="_Toc21065"/>
      <w:r>
        <w:rPr>
          <w:rFonts w:hint="default" w:ascii="Times New Roman" w:hAnsi="Times New Roman" w:eastAsia="宋体" w:cs="Times New Roman"/>
          <w:b/>
          <w:bCs/>
          <w:spacing w:val="3"/>
          <w:sz w:val="24"/>
          <w:szCs w:val="24"/>
          <w:lang w:val="en-US" w:eastAsia="zh-CN"/>
        </w:rPr>
        <w:t>（3）法律阐释</w:t>
      </w:r>
      <w:bookmarkEnd w:id="5"/>
    </w:p>
    <w:p w14:paraId="4D8E4846">
      <w:pPr>
        <w:spacing w:before="68" w:line="296" w:lineRule="auto"/>
        <w:ind w:right="82" w:firstLine="492" w:firstLineChars="200"/>
        <w:jc w:val="both"/>
        <w:rPr>
          <w:rFonts w:hint="eastAsia" w:ascii="宋体" w:hAnsi="宋体" w:eastAsia="宋体" w:cs="宋体"/>
          <w:spacing w:val="-4"/>
          <w:sz w:val="24"/>
          <w:szCs w:val="24"/>
          <w:lang w:val="en-US" w:eastAsia="zh-CN"/>
        </w:rPr>
      </w:pPr>
      <w:r>
        <w:rPr>
          <w:rFonts w:hint="eastAsia" w:ascii="宋体" w:hAnsi="宋体" w:eastAsia="宋体" w:cs="宋体"/>
          <w:spacing w:val="3"/>
          <w:sz w:val="24"/>
          <w:szCs w:val="24"/>
          <w:lang w:val="en-US" w:eastAsia="zh-CN"/>
        </w:rPr>
        <w:t>紧接着的第三节讨论的是法律阐释，</w:t>
      </w:r>
      <w:r>
        <w:rPr>
          <w:rFonts w:ascii="宋体" w:hAnsi="宋体" w:eastAsia="宋体" w:cs="宋体"/>
          <w:spacing w:val="5"/>
          <w:sz w:val="24"/>
          <w:szCs w:val="24"/>
        </w:rPr>
        <w:t>包括以下三端：</w:t>
      </w:r>
      <w:r>
        <w:rPr>
          <w:rFonts w:ascii="宋体" w:hAnsi="宋体" w:eastAsia="宋体" w:cs="宋体"/>
          <w:spacing w:val="3"/>
          <w:sz w:val="24"/>
          <w:szCs w:val="24"/>
        </w:rPr>
        <w:t>①狭义的法律解释；②价值补充；③漏洞补充。</w:t>
      </w:r>
      <w:r>
        <w:rPr>
          <w:rFonts w:hint="eastAsia" w:ascii="宋体" w:hAnsi="宋体" w:eastAsia="宋体" w:cs="宋体"/>
          <w:spacing w:val="3"/>
          <w:sz w:val="24"/>
          <w:szCs w:val="24"/>
          <w:lang w:val="en-US" w:eastAsia="zh-CN"/>
        </w:rPr>
        <w:t>狭义的法律解释中提及应</w:t>
      </w:r>
      <w:r>
        <w:rPr>
          <w:rFonts w:ascii="宋体" w:hAnsi="宋体" w:eastAsia="宋体" w:cs="宋体"/>
          <w:spacing w:val="3"/>
          <w:sz w:val="24"/>
          <w:szCs w:val="24"/>
        </w:rPr>
        <w:t>先为文义解释，有复数解释之可</w:t>
      </w:r>
      <w:r>
        <w:rPr>
          <w:rFonts w:ascii="宋体" w:hAnsi="宋体" w:eastAsia="宋体" w:cs="宋体"/>
          <w:spacing w:val="2"/>
          <w:sz w:val="24"/>
          <w:szCs w:val="24"/>
        </w:rPr>
        <w:t>能性时，始为</w:t>
      </w:r>
      <w:r>
        <w:rPr>
          <w:rFonts w:ascii="宋体" w:hAnsi="宋体" w:eastAsia="宋体" w:cs="宋体"/>
          <w:spacing w:val="3"/>
          <w:sz w:val="24"/>
          <w:szCs w:val="24"/>
        </w:rPr>
        <w:t>其他解释方法，惟无须每一种解释方法，均</w:t>
      </w:r>
      <w:r>
        <w:rPr>
          <w:rFonts w:ascii="宋体" w:hAnsi="宋体" w:eastAsia="宋体" w:cs="宋体"/>
          <w:spacing w:val="2"/>
          <w:sz w:val="24"/>
          <w:szCs w:val="24"/>
        </w:rPr>
        <w:t>予运用，只须</w:t>
      </w:r>
      <w:r>
        <w:rPr>
          <w:rFonts w:ascii="宋体" w:hAnsi="宋体" w:eastAsia="宋体" w:cs="宋体"/>
          <w:spacing w:val="3"/>
          <w:sz w:val="24"/>
          <w:szCs w:val="24"/>
        </w:rPr>
        <w:t>其中之一种或数种解释方法，能支持某种结论，</w:t>
      </w:r>
      <w:r>
        <w:rPr>
          <w:rFonts w:ascii="宋体" w:hAnsi="宋体" w:eastAsia="宋体" w:cs="宋体"/>
          <w:spacing w:val="2"/>
          <w:sz w:val="24"/>
          <w:szCs w:val="24"/>
        </w:rPr>
        <w:t>可贯彻正</w:t>
      </w:r>
      <w:r>
        <w:rPr>
          <w:rFonts w:ascii="宋体" w:hAnsi="宋体" w:eastAsia="宋体" w:cs="宋体"/>
          <w:spacing w:val="-4"/>
          <w:sz w:val="24"/>
          <w:szCs w:val="24"/>
        </w:rPr>
        <w:t>义之理念，即为已足。</w:t>
      </w:r>
      <w:r>
        <w:rPr>
          <w:rStyle w:val="10"/>
          <w:rFonts w:ascii="宋体" w:hAnsi="宋体" w:eastAsia="宋体" w:cs="宋体"/>
          <w:spacing w:val="-4"/>
          <w:sz w:val="24"/>
          <w:szCs w:val="24"/>
        </w:rPr>
        <w:t>[</w:t>
      </w:r>
      <w:r>
        <w:rPr>
          <w:rStyle w:val="10"/>
          <w:rFonts w:ascii="宋体" w:hAnsi="宋体" w:eastAsia="宋体" w:cs="宋体"/>
          <w:spacing w:val="-4"/>
          <w:sz w:val="24"/>
          <w:szCs w:val="24"/>
        </w:rPr>
        <w:footnoteReference w:id="4"/>
      </w:r>
      <w:r>
        <w:rPr>
          <w:rStyle w:val="10"/>
          <w:rFonts w:ascii="宋体" w:hAnsi="宋体" w:eastAsia="宋体" w:cs="宋体"/>
          <w:spacing w:val="-4"/>
          <w:sz w:val="24"/>
          <w:szCs w:val="24"/>
        </w:rPr>
        <w:t>]</w:t>
      </w:r>
      <w:r>
        <w:rPr>
          <w:rFonts w:hint="eastAsia" w:ascii="宋体" w:hAnsi="宋体" w:eastAsia="宋体" w:cs="宋体"/>
          <w:spacing w:val="-4"/>
          <w:sz w:val="24"/>
          <w:szCs w:val="24"/>
          <w:lang w:val="en-US" w:eastAsia="zh-CN"/>
        </w:rPr>
        <w:t>这一点很直接的体现法律的实践性，对于不同的应用场景，并不要求相同不变的解释，而是力求针对现实案情的法律解释，这一点给了法律一定的韧性，韧性是物理学概念，表示材料在塑性形变和破裂过程中吸收能量的能力，韧性越好，则发生脆性断裂的可能性越小，此处的韧性可以保证法律在面临复杂罕见现实案情的场景下不至于失去应用，但是具有韧性又使法律失去同一性，是固守形式理性框架，坚持同一性基础，以绝对性、封闭性规范为目标的法律解释论；还是以后果主义、功能主义考量为契机，拥抱实质理性，彻底消解规范的绝对性和封闭性，进而用相似性取代同一性，重新建构法律解释体系</w:t>
      </w:r>
      <w:r>
        <w:rPr>
          <w:rStyle w:val="10"/>
          <w:rFonts w:hint="eastAsia" w:ascii="宋体" w:hAnsi="宋体" w:eastAsia="宋体" w:cs="宋体"/>
          <w:spacing w:val="-4"/>
          <w:sz w:val="24"/>
          <w:szCs w:val="24"/>
          <w:lang w:val="en-US" w:eastAsia="zh-CN"/>
        </w:rPr>
        <w:t>[</w:t>
      </w:r>
      <w:r>
        <w:rPr>
          <w:rStyle w:val="10"/>
          <w:rFonts w:hint="eastAsia" w:ascii="宋体" w:hAnsi="宋体" w:eastAsia="宋体" w:cs="宋体"/>
          <w:spacing w:val="-4"/>
          <w:sz w:val="24"/>
          <w:szCs w:val="24"/>
          <w:lang w:val="en-US" w:eastAsia="zh-CN"/>
        </w:rPr>
        <w:footnoteReference w:id="5"/>
      </w:r>
      <w:r>
        <w:rPr>
          <w:rStyle w:val="10"/>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CN"/>
        </w:rPr>
        <w:t>，这是我们需要思考的问题。维特根斯坦用“语言游戏”这个概念指出，语言没有什么固定的意义，一切取决于我们怎么使用它们：“一个词语的意义就是它在语言中的使用。”</w:t>
      </w:r>
      <w:r>
        <w:rPr>
          <w:rStyle w:val="10"/>
          <w:rFonts w:hint="eastAsia" w:ascii="宋体" w:hAnsi="宋体" w:eastAsia="宋体" w:cs="宋体"/>
          <w:spacing w:val="-4"/>
          <w:sz w:val="24"/>
          <w:szCs w:val="24"/>
          <w:lang w:val="en-US" w:eastAsia="zh-CN"/>
        </w:rPr>
        <w:t>[</w:t>
      </w:r>
      <w:r>
        <w:rPr>
          <w:rStyle w:val="10"/>
          <w:rFonts w:hint="eastAsia" w:ascii="宋体" w:hAnsi="宋体" w:eastAsia="宋体" w:cs="宋体"/>
          <w:spacing w:val="-4"/>
          <w:sz w:val="24"/>
          <w:szCs w:val="24"/>
          <w:lang w:val="en-US" w:eastAsia="zh-CN"/>
        </w:rPr>
        <w:footnoteReference w:id="6"/>
      </w:r>
      <w:r>
        <w:rPr>
          <w:rStyle w:val="10"/>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CN"/>
        </w:rPr>
        <w:t>对于这个问题，我更倾向于将法律的意涵依托于法律的目的，依据法律的目的，也就是在法律中的使用，来给出相应的法律解释。</w:t>
      </w:r>
    </w:p>
    <w:p w14:paraId="46DBD80A">
      <w:pPr>
        <w:spacing w:before="68" w:line="296" w:lineRule="auto"/>
        <w:ind w:right="82" w:rightChars="0" w:firstLine="506" w:firstLineChars="200"/>
        <w:jc w:val="both"/>
        <w:outlineLvl w:val="1"/>
        <w:rPr>
          <w:rFonts w:hint="default" w:ascii="Times New Roman" w:hAnsi="Times New Roman" w:eastAsia="宋体" w:cs="Times New Roman"/>
          <w:b/>
          <w:bCs/>
          <w:spacing w:val="6"/>
          <w:sz w:val="24"/>
          <w:szCs w:val="24"/>
          <w:lang w:val="en-US" w:eastAsia="zh-CN"/>
        </w:rPr>
      </w:pPr>
      <w:bookmarkStart w:id="6" w:name="_Toc29548"/>
      <w:r>
        <w:rPr>
          <w:rFonts w:hint="default" w:ascii="Times New Roman" w:hAnsi="Times New Roman" w:eastAsia="宋体" w:cs="Times New Roman"/>
          <w:b/>
          <w:bCs/>
          <w:spacing w:val="6"/>
          <w:sz w:val="24"/>
          <w:szCs w:val="24"/>
          <w:lang w:eastAsia="zh-CN"/>
        </w:rPr>
        <w:t>（</w:t>
      </w:r>
      <w:r>
        <w:rPr>
          <w:rFonts w:hint="eastAsia" w:ascii="Times New Roman" w:hAnsi="Times New Roman" w:eastAsia="宋体" w:cs="Times New Roman"/>
          <w:b/>
          <w:bCs/>
          <w:spacing w:val="6"/>
          <w:sz w:val="24"/>
          <w:szCs w:val="24"/>
          <w:lang w:val="en-US" w:eastAsia="zh-CN"/>
        </w:rPr>
        <w:t>4</w:t>
      </w:r>
      <w:r>
        <w:rPr>
          <w:rFonts w:hint="default" w:ascii="Times New Roman" w:hAnsi="Times New Roman" w:eastAsia="宋体" w:cs="Times New Roman"/>
          <w:b/>
          <w:bCs/>
          <w:spacing w:val="6"/>
          <w:sz w:val="24"/>
          <w:szCs w:val="24"/>
          <w:lang w:val="en-US" w:eastAsia="zh-CN"/>
        </w:rPr>
        <w:t>）合宪解释</w:t>
      </w:r>
      <w:bookmarkEnd w:id="6"/>
    </w:p>
    <w:p w14:paraId="78DA6737">
      <w:pPr>
        <w:spacing w:before="68" w:line="296" w:lineRule="auto"/>
        <w:ind w:right="82" w:firstLine="504" w:firstLineChars="200"/>
        <w:jc w:val="both"/>
        <w:rPr>
          <w:rFonts w:hint="eastAsia" w:ascii="宋体" w:hAnsi="宋体" w:eastAsia="宋体" w:cs="宋体"/>
          <w:spacing w:val="3"/>
          <w:sz w:val="24"/>
          <w:szCs w:val="24"/>
          <w:lang w:val="en-US" w:eastAsia="zh-CN"/>
        </w:rPr>
      </w:pPr>
      <w:r>
        <w:rPr>
          <w:rFonts w:ascii="宋体" w:hAnsi="宋体" w:eastAsia="宋体" w:cs="宋体"/>
          <w:spacing w:val="6"/>
          <w:sz w:val="24"/>
          <w:szCs w:val="24"/>
        </w:rPr>
        <w:t>狭义的法律解释方法有六，即文义解释、体系解释、</w:t>
      </w:r>
      <w:r>
        <w:rPr>
          <w:rFonts w:ascii="宋体" w:hAnsi="宋体" w:eastAsia="宋体" w:cs="宋体"/>
          <w:spacing w:val="15"/>
          <w:sz w:val="24"/>
          <w:szCs w:val="24"/>
        </w:rPr>
        <w:t xml:space="preserve"> </w:t>
      </w:r>
      <w:r>
        <w:rPr>
          <w:rFonts w:ascii="宋体" w:hAnsi="宋体" w:eastAsia="宋体" w:cs="宋体"/>
          <w:spacing w:val="3"/>
          <w:sz w:val="24"/>
          <w:szCs w:val="24"/>
        </w:rPr>
        <w:t>法意解释、比较解释、目的解释及合宪解释</w:t>
      </w:r>
      <w:r>
        <w:rPr>
          <w:rFonts w:hint="eastAsia" w:ascii="宋体" w:hAnsi="宋体" w:eastAsia="宋体" w:cs="宋体"/>
          <w:spacing w:val="3"/>
          <w:sz w:val="24"/>
          <w:szCs w:val="24"/>
          <w:lang w:eastAsia="zh-CN"/>
        </w:rPr>
        <w:t>，</w:t>
      </w:r>
      <w:r>
        <w:rPr>
          <w:rStyle w:val="10"/>
          <w:rFonts w:hint="eastAsia" w:ascii="宋体" w:hAnsi="宋体" w:eastAsia="宋体" w:cs="宋体"/>
          <w:spacing w:val="3"/>
          <w:sz w:val="24"/>
          <w:szCs w:val="24"/>
          <w:lang w:eastAsia="zh-CN"/>
        </w:rPr>
        <w:t>[</w:t>
      </w:r>
      <w:r>
        <w:rPr>
          <w:rStyle w:val="10"/>
          <w:rFonts w:hint="eastAsia" w:ascii="宋体" w:hAnsi="宋体" w:eastAsia="宋体" w:cs="宋体"/>
          <w:spacing w:val="3"/>
          <w:sz w:val="24"/>
          <w:szCs w:val="24"/>
          <w:lang w:eastAsia="zh-CN"/>
        </w:rPr>
        <w:footnoteReference w:id="7"/>
      </w:r>
      <w:r>
        <w:rPr>
          <w:rStyle w:val="10"/>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我想就合宪解释谈一谈。合宪解释不同于其他的解释方法的地方在于合宪解释是立足于宪法的最高位阶，用高位阶的规范来阐释低位阶法的涵义，宪法是我国的根本大法。在全面依法治国的时代背景下，保障宪法实施是建设法治国家的重中之重。运用合宪性解释方法裁判案件，是法院实施宪法的基本方式，也是法院履行宪法义务的重要形式，具有促进宪法实施、保障当事人权益的重要功能。</w:t>
      </w:r>
      <w:r>
        <w:rPr>
          <w:rStyle w:val="10"/>
          <w:rFonts w:hint="eastAsia" w:ascii="宋体" w:hAnsi="宋体" w:eastAsia="宋体" w:cs="宋体"/>
          <w:spacing w:val="3"/>
          <w:sz w:val="24"/>
          <w:szCs w:val="24"/>
          <w:lang w:val="en-US" w:eastAsia="zh-CN"/>
        </w:rPr>
        <w:t>[</w:t>
      </w:r>
      <w:r>
        <w:rPr>
          <w:rStyle w:val="10"/>
          <w:rFonts w:hint="eastAsia" w:ascii="宋体" w:hAnsi="宋体" w:eastAsia="宋体" w:cs="宋体"/>
          <w:spacing w:val="3"/>
          <w:sz w:val="24"/>
          <w:szCs w:val="24"/>
          <w:lang w:val="en-US" w:eastAsia="zh-CN"/>
        </w:rPr>
        <w:footnoteReference w:id="8"/>
      </w:r>
      <w:r>
        <w:rPr>
          <w:rStyle w:val="10"/>
          <w:rFonts w:hint="eastAsia" w:ascii="宋体" w:hAnsi="宋体" w:eastAsia="宋体" w:cs="宋体"/>
          <w:spacing w:val="3"/>
          <w:sz w:val="24"/>
          <w:szCs w:val="24"/>
          <w:lang w:val="en-US" w:eastAsia="zh-CN"/>
        </w:rPr>
        <w:t>]</w:t>
      </w:r>
      <w:r>
        <w:rPr>
          <w:rFonts w:hint="eastAsia" w:ascii="宋体" w:hAnsi="宋体" w:eastAsia="宋体" w:cs="宋体"/>
          <w:spacing w:val="3"/>
          <w:sz w:val="24"/>
          <w:szCs w:val="24"/>
          <w:lang w:val="en-US" w:eastAsia="zh-CN"/>
        </w:rPr>
        <w:t>我查询了有关合宪解释的有关材料，上述引用的文章中提及代表人物为梁慧星和杨仁寿两位教授的合宪解释是第一阶段，即概念引入阶段，而2008年以后，随着齐玉苓案司法批复的废止，合宪性解释成为学界研究热点，对合宪性解释的理解进入第二阶段，各学说虽然对合宪性解释的理解仍存在分歧，但底线性共识即合宪性解释中必然伴随着宪法条款的出场。合宪性解释的运用深化了援用宪法说理的内涵，促进了宪法的实施，发挥着保障当事人权益的功能。</w:t>
      </w:r>
    </w:p>
    <w:p w14:paraId="07CC7999">
      <w:pPr>
        <w:spacing w:before="68" w:line="296" w:lineRule="auto"/>
        <w:ind w:right="82" w:rightChars="0" w:firstLine="494" w:firstLineChars="200"/>
        <w:jc w:val="both"/>
        <w:outlineLvl w:val="1"/>
        <w:rPr>
          <w:rFonts w:hint="default" w:ascii="Times New Roman" w:hAnsi="Times New Roman" w:eastAsia="宋体" w:cs="Times New Roman"/>
          <w:b/>
          <w:bCs/>
          <w:spacing w:val="3"/>
          <w:sz w:val="24"/>
          <w:szCs w:val="24"/>
          <w:lang w:val="en-US" w:eastAsia="zh-CN"/>
        </w:rPr>
      </w:pPr>
      <w:bookmarkStart w:id="7" w:name="_Toc23619"/>
      <w:r>
        <w:rPr>
          <w:rFonts w:hint="default" w:ascii="Times New Roman" w:hAnsi="Times New Roman" w:eastAsia="宋体" w:cs="Times New Roman"/>
          <w:b/>
          <w:bCs/>
          <w:spacing w:val="3"/>
          <w:sz w:val="24"/>
          <w:szCs w:val="24"/>
          <w:lang w:val="en-US" w:eastAsia="zh-CN"/>
        </w:rPr>
        <w:t>（5）目的性限缩</w:t>
      </w:r>
      <w:bookmarkEnd w:id="7"/>
    </w:p>
    <w:p w14:paraId="3DB430DE">
      <w:pPr>
        <w:spacing w:before="68" w:line="296" w:lineRule="auto"/>
        <w:ind w:right="82" w:firstLine="492" w:firstLineChars="200"/>
        <w:jc w:val="both"/>
        <w:rPr>
          <w:rStyle w:val="10"/>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接下来我关注到本书开始就提及的目的性限缩，目的性限缩的应用场景是法律条文所涵盖的某一类型，由于立法者的疏忽未将其排除在外，为贯彻规范意旨而将该类型排除在外。目的性限缩的介入有着积极与消极的方面，拉伦茨将目的性限缩所填补的法律 漏洞定义为隐蔽的法律漏洞，他认为目的性限缩的正当性基础在于公平原则“同案同判”要求的另一侧面即“不同案件不同处理”的要求。这一正当性基础虽然能够在一定程度上体现目的性限缩方法的特质，可以在积极意义上“授权”目的性限缩方法的介入，却无法在消极意义上防止一些法政策层面的考量假托法律“目的 ”的名义强行对其背后的 法律规则进行修改。因此，目的性限缩需要更为具体的、微观的正当性基础的支撑。这种正当性基础应当一方面能够为目的性限缩方法的适用提供理论依据，另一方面也应避 免此种支撑过于宽泛和抽象而导致目的性限缩在实际上可以不断地扩张自己的版图。</w:t>
      </w:r>
      <w:r>
        <w:rPr>
          <w:rStyle w:val="10"/>
          <w:rFonts w:hint="eastAsia" w:ascii="宋体" w:hAnsi="宋体" w:eastAsia="宋体" w:cs="宋体"/>
          <w:spacing w:val="3"/>
          <w:sz w:val="24"/>
          <w:szCs w:val="24"/>
          <w:lang w:val="en-US" w:eastAsia="zh-CN"/>
        </w:rPr>
        <w:t>[</w:t>
      </w:r>
      <w:r>
        <w:rPr>
          <w:rStyle w:val="10"/>
          <w:rFonts w:hint="eastAsia" w:ascii="宋体" w:hAnsi="宋体" w:eastAsia="宋体" w:cs="宋体"/>
          <w:spacing w:val="3"/>
          <w:sz w:val="24"/>
          <w:szCs w:val="24"/>
          <w:lang w:val="en-US" w:eastAsia="zh-CN"/>
        </w:rPr>
        <w:footnoteReference w:id="9"/>
      </w:r>
      <w:r>
        <w:rPr>
          <w:rStyle w:val="10"/>
          <w:rFonts w:hint="eastAsia" w:ascii="宋体" w:hAnsi="宋体" w:eastAsia="宋体" w:cs="宋体"/>
          <w:spacing w:val="3"/>
          <w:sz w:val="24"/>
          <w:szCs w:val="24"/>
          <w:lang w:val="en-US" w:eastAsia="zh-CN"/>
        </w:rPr>
        <w:t>]</w:t>
      </w:r>
    </w:p>
    <w:p w14:paraId="73921BF4">
      <w:pPr>
        <w:spacing w:before="68" w:line="296" w:lineRule="auto"/>
        <w:ind w:right="82" w:rightChars="0" w:firstLine="574" w:firstLineChars="200"/>
        <w:jc w:val="both"/>
        <w:outlineLvl w:val="0"/>
        <w:rPr>
          <w:rFonts w:hint="default" w:ascii="宋体" w:hAnsi="宋体" w:eastAsia="宋体" w:cs="宋体"/>
          <w:spacing w:val="3"/>
          <w:sz w:val="21"/>
          <w:szCs w:val="21"/>
          <w:lang w:val="en-US" w:eastAsia="zh-CN"/>
        </w:rPr>
      </w:pPr>
      <w:bookmarkStart w:id="8" w:name="_Toc3566"/>
      <w:r>
        <w:rPr>
          <w:rFonts w:hint="default" w:ascii="Times New Roman" w:hAnsi="Times New Roman" w:eastAsia="宋体" w:cs="Times New Roman"/>
          <w:b/>
          <w:bCs/>
          <w:spacing w:val="3"/>
          <w:sz w:val="28"/>
          <w:szCs w:val="28"/>
          <w:lang w:val="en-US" w:eastAsia="zh-CN"/>
        </w:rPr>
        <w:t>三、结语</w:t>
      </w:r>
      <w:bookmarkEnd w:id="8"/>
    </w:p>
    <w:p w14:paraId="5CDB2330">
      <w:pPr>
        <w:spacing w:before="68" w:line="296" w:lineRule="auto"/>
        <w:ind w:right="82" w:firstLine="492" w:firstLineChars="200"/>
        <w:jc w:val="both"/>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通过阅读《法学方法论》，我们深刻认识到法学方法对于法学研究与实践的重要意义。从概念法学的反思到研究法学方法的转变，让我们明白法律不应是僵化的条文，而应与社会发展紧密相连。法律解释的多面性与合宪解释的重要性，为法律适用提供了多元视角与坚实依据。同时，目的性限缩的探讨也提醒我们在运用法学方法时需谨慎权衡。法学之路漫漫，我们应不断学习法学方法，提升素养，以更好地理解、运用和发展法律，为法治建设贡献力量。</w:t>
      </w:r>
    </w:p>
    <w:p w14:paraId="338C02EB">
      <w:pPr>
        <w:spacing w:before="80" w:line="287" w:lineRule="auto"/>
        <w:ind w:right="767" w:firstLine="439"/>
        <w:jc w:val="both"/>
        <w:rPr>
          <w:rFonts w:hint="default" w:ascii="宋体" w:hAnsi="宋体" w:eastAsia="宋体" w:cs="宋体"/>
          <w:spacing w:val="3"/>
          <w:sz w:val="21"/>
          <w:szCs w:val="21"/>
          <w:lang w:val="en-US" w:eastAsia="zh-CN"/>
        </w:rPr>
      </w:pPr>
    </w:p>
    <w:p w14:paraId="25A1C5D6">
      <w:pPr>
        <w:spacing w:before="35" w:line="282" w:lineRule="auto"/>
        <w:ind w:right="527" w:firstLine="420"/>
        <w:jc w:val="both"/>
        <w:rPr>
          <w:rFonts w:hint="default" w:ascii="宋体" w:hAnsi="宋体" w:eastAsia="宋体" w:cs="宋体"/>
          <w:b w:val="0"/>
          <w:bCs w:val="0"/>
          <w:spacing w:val="15"/>
          <w:sz w:val="21"/>
          <w:szCs w:val="21"/>
          <w:lang w:val="en-US" w:eastAsia="zh-CN"/>
        </w:rPr>
      </w:pPr>
    </w:p>
    <w:p w14:paraId="389F1AC6">
      <w:pPr>
        <w:rPr>
          <w:rFonts w:hint="default" w:ascii="仿宋" w:hAnsi="仿宋" w:eastAsia="仿宋" w:cs="仿宋"/>
          <w:sz w:val="21"/>
          <w:szCs w:val="21"/>
          <w:lang w:val="en-US" w:eastAsia="zh-CN"/>
        </w:rPr>
      </w:pPr>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E73C6">
    <w:pPr>
      <w:pStyle w:val="3"/>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2E16E8">
                          <w:pPr>
                            <w:pStyle w:val="3"/>
                          </w:pPr>
                          <w:r>
                            <w:rPr>
                              <w:rFonts w:hint="eastAsia"/>
                            </w:rPr>
                            <w:fldChar w:fldCharType="begin"/>
                          </w:r>
                          <w:r>
                            <w:rPr>
                              <w:rFonts w:hint="eastAsia"/>
                            </w:rPr>
                            <w:instrText xml:space="preserve"> PAGE  \* MERGEFORMAT </w:instrText>
                          </w:r>
                          <w:r>
                            <w:rPr>
                              <w:rFonts w:hint="eastAsia"/>
                            </w:rPr>
                            <w:fldChar w:fldCharType="separate"/>
                          </w:r>
                          <w:r>
                            <w:t>V</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112E16E8">
                    <w:pPr>
                      <w:pStyle w:val="3"/>
                    </w:pPr>
                    <w:r>
                      <w:rPr>
                        <w:rFonts w:hint="eastAsia"/>
                      </w:rPr>
                      <w:fldChar w:fldCharType="begin"/>
                    </w:r>
                    <w:r>
                      <w:rPr>
                        <w:rFonts w:hint="eastAsia"/>
                      </w:rPr>
                      <w:instrText xml:space="preserve"> PAGE  \* MERGEFORMAT </w:instrText>
                    </w:r>
                    <w:r>
                      <w:rPr>
                        <w:rFonts w:hint="eastAsia"/>
                      </w:rPr>
                      <w:fldChar w:fldCharType="separate"/>
                    </w:r>
                    <w:r>
                      <w:t>V</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2C64E">
    <w:pPr>
      <w:pStyle w:val="3"/>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5BC39">
                          <w:pPr>
                            <w:pStyle w:val="3"/>
                          </w:pPr>
                          <w:r>
                            <w:rPr>
                              <w:rFonts w:hint="eastAsia"/>
                            </w:rPr>
                            <w:fldChar w:fldCharType="begin"/>
                          </w:r>
                          <w:r>
                            <w:rPr>
                              <w:rFonts w:hint="eastAsia"/>
                            </w:rPr>
                            <w:instrText xml:space="preserve"> PAGE  \* MERGEFORMAT </w:instrText>
                          </w:r>
                          <w:r>
                            <w:rPr>
                              <w:rFonts w:hint="eastAsia"/>
                            </w:rPr>
                            <w:fldChar w:fldCharType="separate"/>
                          </w:r>
                          <w:r>
                            <w:t>VI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7545BC39">
                    <w:pPr>
                      <w:pStyle w:val="3"/>
                    </w:pPr>
                    <w:r>
                      <w:rPr>
                        <w:rFonts w:hint="eastAsia"/>
                      </w:rPr>
                      <w:fldChar w:fldCharType="begin"/>
                    </w:r>
                    <w:r>
                      <w:rPr>
                        <w:rFonts w:hint="eastAsia"/>
                      </w:rPr>
                      <w:instrText xml:space="preserve"> PAGE  \* MERGEFORMAT </w:instrText>
                    </w:r>
                    <w:r>
                      <w:rPr>
                        <w:rFonts w:hint="eastAsia"/>
                      </w:rPr>
                      <w:fldChar w:fldCharType="separate"/>
                    </w:r>
                    <w:r>
                      <w:t>VI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r>
        <w:separator/>
      </w:r>
    </w:p>
  </w:footnote>
  <w:footnote w:type="continuationSeparator" w:id="21">
    <w:p>
      <w:r>
        <w:continuationSeparator/>
      </w:r>
    </w:p>
  </w:footnote>
  <w:footnote w:id="0">
    <w:p w14:paraId="6A04382A">
      <w:pPr>
        <w:pStyle w:val="6"/>
        <w:snapToGrid w:val="0"/>
        <w:rPr>
          <w:rFonts w:hint="eastAsia" w:ascii="黑体" w:hAnsi="黑体" w:eastAsia="黑体" w:cs="黑体"/>
          <w:lang w:val="en-US" w:eastAsia="zh-CN"/>
        </w:rPr>
      </w:pPr>
      <w:r>
        <w:rPr>
          <w:rStyle w:val="10"/>
          <w:rFonts w:hint="eastAsia" w:ascii="黑体" w:hAnsi="黑体" w:eastAsia="黑体" w:cs="黑体"/>
        </w:rPr>
        <w:t>[</w:t>
      </w:r>
      <w:r>
        <w:rPr>
          <w:rStyle w:val="10"/>
          <w:rFonts w:hint="eastAsia" w:ascii="黑体" w:hAnsi="黑体" w:eastAsia="黑体" w:cs="黑体"/>
        </w:rPr>
        <w:footnoteRef/>
      </w:r>
      <w:r>
        <w:rPr>
          <w:rStyle w:val="10"/>
          <w:rFonts w:hint="eastAsia" w:ascii="黑体" w:hAnsi="黑体" w:eastAsia="黑体" w:cs="黑体"/>
        </w:rPr>
        <w:t>]</w:t>
      </w:r>
      <w:r>
        <w:rPr>
          <w:rFonts w:hint="eastAsia" w:ascii="黑体" w:hAnsi="黑体" w:eastAsia="黑体" w:cs="黑体"/>
        </w:rPr>
        <w:t xml:space="preserve"> </w:t>
      </w:r>
      <w:r>
        <w:rPr>
          <w:rFonts w:hint="eastAsia" w:ascii="黑体" w:hAnsi="黑体" w:eastAsia="黑体" w:cs="黑体"/>
          <w:lang w:val="en-US" w:eastAsia="zh-CN"/>
        </w:rPr>
        <w:t>杨仁寿：《法学方法论》（第二版），中国政法大学出版社2013年版，第2页。</w:t>
      </w:r>
    </w:p>
  </w:footnote>
  <w:footnote w:id="1">
    <w:p w14:paraId="080B8A1A">
      <w:pPr>
        <w:pStyle w:val="6"/>
        <w:snapToGrid w:val="0"/>
        <w:rPr>
          <w:rFonts w:hint="eastAsia" w:ascii="黑体" w:hAnsi="黑体" w:eastAsia="黑体" w:cs="黑体"/>
          <w:lang w:val="en-US" w:eastAsia="zh-CN"/>
        </w:rPr>
      </w:pPr>
      <w:r>
        <w:rPr>
          <w:rStyle w:val="10"/>
          <w:rFonts w:hint="eastAsia" w:ascii="黑体" w:hAnsi="黑体" w:eastAsia="黑体" w:cs="黑体"/>
        </w:rPr>
        <w:t>[</w:t>
      </w:r>
      <w:r>
        <w:rPr>
          <w:rStyle w:val="10"/>
          <w:rFonts w:hint="eastAsia" w:ascii="黑体" w:hAnsi="黑体" w:eastAsia="黑体" w:cs="黑体"/>
        </w:rPr>
        <w:footnoteRef/>
      </w:r>
      <w:r>
        <w:rPr>
          <w:rStyle w:val="10"/>
          <w:rFonts w:hint="eastAsia" w:ascii="黑体" w:hAnsi="黑体" w:eastAsia="黑体" w:cs="黑体"/>
        </w:rPr>
        <w:t>]</w:t>
      </w:r>
      <w:r>
        <w:rPr>
          <w:rFonts w:hint="eastAsia" w:ascii="黑体" w:hAnsi="黑体" w:eastAsia="黑体" w:cs="黑体"/>
        </w:rPr>
        <w:t xml:space="preserve"> </w:t>
      </w:r>
      <w:r>
        <w:rPr>
          <w:rFonts w:hint="eastAsia" w:ascii="黑体" w:hAnsi="黑体" w:eastAsia="黑体" w:cs="黑体"/>
          <w:lang w:val="en-US" w:eastAsia="zh-CN"/>
        </w:rPr>
        <w:t>同前注[1],杨仁寿：《法学方法论》（第二版），中国政法大学出版社2013年版，第1页。</w:t>
      </w:r>
    </w:p>
  </w:footnote>
  <w:footnote w:id="2">
    <w:p w14:paraId="0E6154EA">
      <w:pPr>
        <w:pStyle w:val="6"/>
        <w:snapToGrid w:val="0"/>
        <w:rPr>
          <w:rFonts w:hint="eastAsia" w:ascii="黑体" w:hAnsi="黑体" w:eastAsia="黑体" w:cs="黑体"/>
        </w:rPr>
      </w:pPr>
      <w:r>
        <w:rPr>
          <w:rStyle w:val="10"/>
          <w:rFonts w:hint="eastAsia" w:ascii="黑体" w:hAnsi="黑体" w:eastAsia="黑体" w:cs="黑体"/>
        </w:rPr>
        <w:t>[</w:t>
      </w:r>
      <w:r>
        <w:rPr>
          <w:rStyle w:val="10"/>
          <w:rFonts w:hint="eastAsia" w:ascii="黑体" w:hAnsi="黑体" w:eastAsia="黑体" w:cs="黑体"/>
        </w:rPr>
        <w:footnoteRef/>
      </w:r>
      <w:r>
        <w:rPr>
          <w:rStyle w:val="10"/>
          <w:rFonts w:hint="eastAsia" w:ascii="黑体" w:hAnsi="黑体" w:eastAsia="黑体" w:cs="黑体"/>
        </w:rPr>
        <w:t>]</w:t>
      </w:r>
      <w:r>
        <w:rPr>
          <w:rFonts w:hint="eastAsia" w:ascii="黑体" w:hAnsi="黑体" w:eastAsia="黑体" w:cs="黑体"/>
        </w:rPr>
        <w:t xml:space="preserve"> </w:t>
      </w:r>
      <w:r>
        <w:rPr>
          <w:rFonts w:hint="eastAsia" w:ascii="黑体" w:hAnsi="黑体" w:eastAsia="黑体" w:cs="黑体"/>
          <w:lang w:val="en-US" w:eastAsia="zh-CN"/>
        </w:rPr>
        <w:t>[德]</w:t>
      </w:r>
      <w:r>
        <w:rPr>
          <w:rFonts w:hint="eastAsia" w:ascii="黑体" w:hAnsi="黑体" w:eastAsia="黑体" w:cs="黑体"/>
        </w:rPr>
        <w:t>汉斯-彼得·哈佛坎普</w:t>
      </w:r>
      <w:r>
        <w:rPr>
          <w:rFonts w:hint="eastAsia" w:ascii="黑体" w:hAnsi="黑体" w:eastAsia="黑体" w:cs="黑体"/>
          <w:lang w:eastAsia="zh-CN"/>
        </w:rPr>
        <w:t>：《</w:t>
      </w:r>
      <w:r>
        <w:rPr>
          <w:rFonts w:hint="eastAsia" w:ascii="黑体" w:hAnsi="黑体" w:eastAsia="黑体" w:cs="黑体"/>
          <w:lang w:val="en-US" w:eastAsia="zh-CN"/>
        </w:rPr>
        <w:t>概念法学》，</w:t>
      </w:r>
      <w:r>
        <w:rPr>
          <w:rFonts w:hint="eastAsia" w:ascii="黑体" w:hAnsi="黑体" w:eastAsia="黑体" w:cs="黑体"/>
        </w:rPr>
        <w:t>纪海龙</w:t>
      </w:r>
      <w:r>
        <w:rPr>
          <w:rFonts w:hint="eastAsia" w:ascii="黑体" w:hAnsi="黑体" w:eastAsia="黑体" w:cs="黑体"/>
          <w:lang w:val="en-US" w:eastAsia="zh-CN"/>
        </w:rPr>
        <w:t>译：《</w:t>
      </w:r>
      <w:r>
        <w:rPr>
          <w:rFonts w:hint="eastAsia" w:ascii="黑体" w:hAnsi="黑体" w:eastAsia="黑体" w:cs="黑体"/>
        </w:rPr>
        <w:t>概念法学</w:t>
      </w:r>
      <w:r>
        <w:rPr>
          <w:rFonts w:hint="eastAsia" w:ascii="黑体" w:hAnsi="黑体" w:eastAsia="黑体" w:cs="黑体"/>
          <w:lang w:eastAsia="zh-CN"/>
        </w:rPr>
        <w:t>》，</w:t>
      </w:r>
      <w:r>
        <w:rPr>
          <w:rFonts w:hint="eastAsia" w:ascii="黑体" w:hAnsi="黑体" w:eastAsia="黑体" w:cs="黑体"/>
          <w:lang w:val="en-US" w:eastAsia="zh-CN"/>
        </w:rPr>
        <w:t>载《</w:t>
      </w:r>
      <w:r>
        <w:rPr>
          <w:rFonts w:hint="eastAsia" w:ascii="黑体" w:hAnsi="黑体" w:eastAsia="黑体" w:cs="黑体"/>
        </w:rPr>
        <w:t>比较法研究</w:t>
      </w:r>
      <w:r>
        <w:rPr>
          <w:rFonts w:hint="eastAsia" w:ascii="黑体" w:hAnsi="黑体" w:eastAsia="黑体" w:cs="黑体"/>
          <w:lang w:eastAsia="zh-CN"/>
        </w:rPr>
        <w:t>》，</w:t>
      </w:r>
      <w:r>
        <w:rPr>
          <w:rFonts w:hint="eastAsia" w:ascii="黑体" w:hAnsi="黑体" w:eastAsia="黑体" w:cs="黑体"/>
        </w:rPr>
        <w:t>2012</w:t>
      </w:r>
      <w:r>
        <w:rPr>
          <w:rFonts w:hint="eastAsia" w:ascii="黑体" w:hAnsi="黑体" w:eastAsia="黑体" w:cs="黑体"/>
          <w:lang w:val="en-US" w:eastAsia="zh-CN"/>
        </w:rPr>
        <w:t>年</w:t>
      </w:r>
    </w:p>
  </w:footnote>
  <w:footnote w:id="3">
    <w:p w14:paraId="50C1CFDE">
      <w:pPr>
        <w:pStyle w:val="6"/>
        <w:snapToGrid w:val="0"/>
        <w:rPr>
          <w:rFonts w:hint="eastAsia" w:ascii="黑体" w:hAnsi="黑体" w:eastAsia="黑体" w:cs="黑体"/>
        </w:rPr>
      </w:pPr>
      <w:r>
        <w:rPr>
          <w:rStyle w:val="10"/>
          <w:rFonts w:hint="eastAsia" w:ascii="黑体" w:hAnsi="黑体" w:eastAsia="黑体" w:cs="黑体"/>
        </w:rPr>
        <w:t>[</w:t>
      </w:r>
      <w:r>
        <w:rPr>
          <w:rStyle w:val="10"/>
          <w:rFonts w:hint="eastAsia" w:ascii="黑体" w:hAnsi="黑体" w:eastAsia="黑体" w:cs="黑体"/>
        </w:rPr>
        <w:footnoteRef/>
      </w:r>
      <w:r>
        <w:rPr>
          <w:rStyle w:val="10"/>
          <w:rFonts w:hint="eastAsia" w:ascii="黑体" w:hAnsi="黑体" w:eastAsia="黑体" w:cs="黑体"/>
        </w:rPr>
        <w:t>]</w:t>
      </w:r>
      <w:r>
        <w:rPr>
          <w:rFonts w:hint="eastAsia" w:ascii="黑体" w:hAnsi="黑体" w:eastAsia="黑体" w:cs="黑体"/>
        </w:rPr>
        <w:t xml:space="preserve"> </w:t>
      </w:r>
      <w:r>
        <w:rPr>
          <w:rFonts w:hint="eastAsia" w:ascii="黑体" w:hAnsi="黑体" w:eastAsia="黑体" w:cs="黑体"/>
          <w:lang w:val="en-US" w:eastAsia="zh-CN"/>
        </w:rPr>
        <w:t>同前注[1],杨仁寿：《法学方法论》（第二版），中国政法大学出版社2013年版，第131页。</w:t>
      </w:r>
    </w:p>
  </w:footnote>
  <w:footnote w:id="4">
    <w:p w14:paraId="48D53657">
      <w:pPr>
        <w:pStyle w:val="6"/>
        <w:snapToGrid w:val="0"/>
        <w:rPr>
          <w:rFonts w:hint="eastAsia" w:ascii="黑体" w:hAnsi="黑体" w:eastAsia="黑体" w:cs="黑体"/>
          <w:lang w:val="en-US" w:eastAsia="zh-CN"/>
        </w:rPr>
      </w:pPr>
      <w:r>
        <w:rPr>
          <w:rFonts w:hint="eastAsia" w:ascii="黑体" w:hAnsi="黑体" w:eastAsia="黑体" w:cs="黑体"/>
          <w:lang w:val="en-US" w:eastAsia="zh-CN"/>
        </w:rPr>
        <w:t>[</w:t>
      </w:r>
      <w:r>
        <w:rPr>
          <w:rFonts w:hint="eastAsia" w:ascii="黑体" w:hAnsi="黑体" w:eastAsia="黑体" w:cs="黑体"/>
          <w:lang w:val="en-US" w:eastAsia="zh-CN"/>
        </w:rPr>
        <w:footnoteRef/>
      </w:r>
      <w:r>
        <w:rPr>
          <w:rFonts w:hint="eastAsia" w:ascii="黑体" w:hAnsi="黑体" w:eastAsia="黑体" w:cs="黑体"/>
          <w:lang w:val="en-US" w:eastAsia="zh-CN"/>
        </w:rPr>
        <w:t>] 同前注[1],杨仁寿：《法学方法论》（第二版），中国政法大学出版社2013年版，第136页。</w:t>
      </w:r>
    </w:p>
  </w:footnote>
  <w:footnote w:id="5">
    <w:p w14:paraId="535D4A65">
      <w:pPr>
        <w:pStyle w:val="6"/>
        <w:snapToGrid w:val="0"/>
        <w:rPr>
          <w:rFonts w:hint="default" w:ascii="黑体" w:hAnsi="黑体" w:eastAsia="黑体" w:cs="黑体"/>
          <w:lang w:val="en-US" w:eastAsia="zh-CN"/>
        </w:rPr>
      </w:pPr>
      <w:r>
        <w:rPr>
          <w:rFonts w:hint="eastAsia" w:ascii="黑体" w:hAnsi="黑体" w:eastAsia="黑体" w:cs="黑体"/>
          <w:lang w:val="en-US" w:eastAsia="zh-CN"/>
        </w:rPr>
        <w:t>[</w:t>
      </w:r>
      <w:r>
        <w:rPr>
          <w:rFonts w:hint="eastAsia" w:ascii="黑体" w:hAnsi="黑体" w:eastAsia="黑体" w:cs="黑体"/>
          <w:lang w:val="en-US" w:eastAsia="zh-CN"/>
        </w:rPr>
        <w:footnoteRef/>
      </w:r>
      <w:r>
        <w:rPr>
          <w:rFonts w:hint="eastAsia" w:ascii="黑体" w:hAnsi="黑体" w:eastAsia="黑体" w:cs="黑体"/>
          <w:lang w:val="en-US" w:eastAsia="zh-CN"/>
        </w:rPr>
        <w:t>] 陈辉：《从同一性到相似性：法律解释的结构转向与体系重构》，载《中国法学》，2024年第4期，第171页。</w:t>
      </w:r>
    </w:p>
  </w:footnote>
  <w:footnote w:id="6">
    <w:p w14:paraId="16A4318B">
      <w:pPr>
        <w:pStyle w:val="6"/>
        <w:snapToGrid w:val="0"/>
        <w:rPr>
          <w:rFonts w:hint="eastAsia" w:ascii="黑体" w:hAnsi="黑体" w:eastAsia="黑体" w:cs="黑体"/>
          <w:lang w:val="en-US" w:eastAsia="zh-CN"/>
        </w:rPr>
      </w:pPr>
      <w:r>
        <w:rPr>
          <w:rFonts w:hint="eastAsia" w:ascii="黑体" w:hAnsi="黑体" w:eastAsia="黑体" w:cs="黑体"/>
          <w:lang w:val="en-US" w:eastAsia="zh-CN"/>
        </w:rPr>
        <w:t>[</w:t>
      </w:r>
      <w:r>
        <w:rPr>
          <w:rFonts w:hint="eastAsia" w:ascii="黑体" w:hAnsi="黑体" w:eastAsia="黑体" w:cs="黑体"/>
          <w:lang w:val="en-US" w:eastAsia="zh-CN"/>
        </w:rPr>
        <w:footnoteRef/>
      </w:r>
      <w:r>
        <w:rPr>
          <w:rFonts w:hint="eastAsia" w:ascii="黑体" w:hAnsi="黑体" w:eastAsia="黑体" w:cs="黑体"/>
          <w:lang w:val="en-US" w:eastAsia="zh-CN"/>
        </w:rPr>
        <w:t>] [德]赫尔曼·康特洛维茨：《为法学而斗争法的定义》，雷磊译，中国法制出版社 2011 年版，第 15-16 页。</w:t>
      </w:r>
    </w:p>
  </w:footnote>
  <w:footnote w:id="7">
    <w:p w14:paraId="02BD5A16">
      <w:pPr>
        <w:pStyle w:val="6"/>
        <w:snapToGrid w:val="0"/>
        <w:rPr>
          <w:rFonts w:hint="default" w:ascii="黑体" w:hAnsi="黑体" w:eastAsia="黑体" w:cs="黑体"/>
          <w:lang w:val="en-US" w:eastAsia="zh-CN"/>
        </w:rPr>
      </w:pPr>
      <w:r>
        <w:rPr>
          <w:rFonts w:hint="eastAsia" w:ascii="黑体" w:hAnsi="黑体" w:eastAsia="黑体" w:cs="黑体"/>
          <w:lang w:val="en-US" w:eastAsia="zh-CN"/>
        </w:rPr>
        <w:t>[</w:t>
      </w:r>
      <w:r>
        <w:rPr>
          <w:rFonts w:hint="eastAsia" w:ascii="黑体" w:hAnsi="黑体" w:eastAsia="黑体" w:cs="黑体"/>
          <w:lang w:val="en-US" w:eastAsia="zh-CN"/>
        </w:rPr>
        <w:footnoteRef/>
      </w:r>
      <w:r>
        <w:rPr>
          <w:rFonts w:hint="eastAsia" w:ascii="黑体" w:hAnsi="黑体" w:eastAsia="黑体" w:cs="黑体"/>
          <w:lang w:val="en-US" w:eastAsia="zh-CN"/>
        </w:rPr>
        <w:t>] 同前注[1],杨仁寿：《法学方法论》（第二版），中国政法大学出版社2013年版，第138页。</w:t>
      </w:r>
    </w:p>
  </w:footnote>
  <w:footnote w:id="8">
    <w:p w14:paraId="6FD98FB4">
      <w:pPr>
        <w:pStyle w:val="6"/>
        <w:snapToGrid w:val="0"/>
        <w:rPr>
          <w:rFonts w:hint="eastAsia" w:ascii="黑体" w:hAnsi="黑体" w:eastAsia="黑体" w:cs="黑体"/>
          <w:lang w:val="en-US" w:eastAsia="zh-CN"/>
        </w:rPr>
      </w:pPr>
      <w:r>
        <w:rPr>
          <w:rFonts w:hint="eastAsia" w:ascii="黑体" w:hAnsi="黑体" w:eastAsia="黑体" w:cs="黑体"/>
          <w:lang w:val="en-US" w:eastAsia="zh-CN"/>
        </w:rPr>
        <w:t>[</w:t>
      </w:r>
      <w:r>
        <w:rPr>
          <w:rFonts w:hint="eastAsia" w:ascii="黑体" w:hAnsi="黑体" w:eastAsia="黑体" w:cs="黑体"/>
          <w:lang w:val="en-US" w:eastAsia="zh-CN"/>
        </w:rPr>
        <w:footnoteRef/>
      </w:r>
      <w:r>
        <w:rPr>
          <w:rFonts w:hint="eastAsia" w:ascii="黑体" w:hAnsi="黑体" w:eastAsia="黑体" w:cs="黑体"/>
          <w:lang w:val="en-US" w:eastAsia="zh-CN"/>
        </w:rPr>
        <w:t>] 李海平,沙洲：《合宪性解释的司法运用：实践与反思》，载《河北法学》，2024年第42卷第5期。</w:t>
      </w:r>
    </w:p>
  </w:footnote>
  <w:footnote w:id="9">
    <w:p w14:paraId="73E583D2">
      <w:pPr>
        <w:pStyle w:val="6"/>
        <w:snapToGrid w:val="0"/>
        <w:rPr>
          <w:rFonts w:hint="default"/>
          <w:lang w:val="en-US"/>
        </w:rPr>
      </w:pPr>
      <w:r>
        <w:rPr>
          <w:rFonts w:hint="eastAsia" w:ascii="黑体" w:hAnsi="黑体" w:eastAsia="黑体" w:cs="黑体"/>
          <w:lang w:val="en-US" w:eastAsia="zh-CN"/>
        </w:rPr>
        <w:t>[</w:t>
      </w:r>
      <w:r>
        <w:rPr>
          <w:rFonts w:hint="eastAsia" w:ascii="黑体" w:hAnsi="黑体" w:eastAsia="黑体" w:cs="黑体"/>
          <w:lang w:val="en-US" w:eastAsia="zh-CN"/>
        </w:rPr>
        <w:footnoteRef/>
      </w:r>
      <w:r>
        <w:rPr>
          <w:rFonts w:hint="eastAsia" w:ascii="黑体" w:hAnsi="黑体" w:eastAsia="黑体" w:cs="黑体"/>
          <w:lang w:val="en-US" w:eastAsia="zh-CN"/>
        </w:rPr>
        <w:t>]于程远：《民法上目的性限缩的正当性基础与边界》，载《法学》，第2019年第8期。</w:t>
      </w:r>
    </w:p>
    <w:p w14:paraId="5B856D4D">
      <w:pPr>
        <w:pStyle w:val="6"/>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17CA7"/>
    <w:multiLevelType w:val="singleLevel"/>
    <w:tmpl w:val="B6617CA7"/>
    <w:lvl w:ilvl="0" w:tentative="0">
      <w:start w:val="2"/>
      <w:numFmt w:val="chineseCounting"/>
      <w:suff w:val="nothing"/>
      <w:lvlText w:val="%1、"/>
      <w:lvlJc w:val="left"/>
      <w:rPr>
        <w:rFonts w:hint="eastAsia"/>
      </w:rPr>
    </w:lvl>
  </w:abstractNum>
  <w:abstractNum w:abstractNumId="1">
    <w:nsid w:val="1A634BAF"/>
    <w:multiLevelType w:val="singleLevel"/>
    <w:tmpl w:val="1A634BAF"/>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0"/>
    <w:footnote w:id="2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340C07B8"/>
    <w:rsid w:val="05D2339D"/>
    <w:rsid w:val="0C700D83"/>
    <w:rsid w:val="15023C9F"/>
    <w:rsid w:val="171F3043"/>
    <w:rsid w:val="27606603"/>
    <w:rsid w:val="2EA96830"/>
    <w:rsid w:val="340C07B8"/>
    <w:rsid w:val="366C2586"/>
    <w:rsid w:val="37103BA1"/>
    <w:rsid w:val="402A3DA9"/>
    <w:rsid w:val="41DA7286"/>
    <w:rsid w:val="48C61372"/>
    <w:rsid w:val="4A7B2FFC"/>
    <w:rsid w:val="4BD17512"/>
    <w:rsid w:val="501E0C85"/>
    <w:rsid w:val="51295B34"/>
    <w:rsid w:val="514761E8"/>
    <w:rsid w:val="5889510A"/>
    <w:rsid w:val="5F613CB5"/>
    <w:rsid w:val="61BC02FE"/>
    <w:rsid w:val="67DB0DB2"/>
    <w:rsid w:val="68633281"/>
    <w:rsid w:val="6864524C"/>
    <w:rsid w:val="6902592E"/>
    <w:rsid w:val="7762336C"/>
    <w:rsid w:val="77E10BD7"/>
    <w:rsid w:val="7C4A29DE"/>
    <w:rsid w:val="7DF50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pPr>
      <w:widowControl/>
      <w:spacing w:before="100" w:beforeAutospacing="1" w:after="100" w:afterAutospacing="1"/>
      <w:jc w:val="left"/>
    </w:pPr>
    <w:rPr>
      <w:rFonts w:ascii="宋体" w:cs="宋体"/>
      <w:kern w:val="0"/>
      <w:sz w:val="24"/>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oc 1"/>
    <w:basedOn w:val="1"/>
    <w:next w:val="1"/>
    <w:qFormat/>
    <w:uiPriority w:val="0"/>
  </w:style>
  <w:style w:type="paragraph" w:styleId="6">
    <w:name w:val="footnote text"/>
    <w:basedOn w:val="1"/>
    <w:qFormat/>
    <w:uiPriority w:val="0"/>
    <w:pPr>
      <w:snapToGrid w:val="0"/>
      <w:jc w:val="left"/>
    </w:pPr>
    <w:rPr>
      <w:sz w:val="18"/>
    </w:rPr>
  </w:style>
  <w:style w:type="paragraph" w:styleId="7">
    <w:name w:val="toc 2"/>
    <w:basedOn w:val="1"/>
    <w:next w:val="1"/>
    <w:qFormat/>
    <w:uiPriority w:val="0"/>
    <w:pPr>
      <w:ind w:left="420" w:leftChars="200"/>
    </w:pPr>
  </w:style>
  <w:style w:type="character" w:styleId="10">
    <w:name w:val="footnote reference"/>
    <w:basedOn w:val="9"/>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3166</Words>
  <Characters>3195</Characters>
  <Lines>0</Lines>
  <Paragraphs>0</Paragraphs>
  <TotalTime>8</TotalTime>
  <ScaleCrop>false</ScaleCrop>
  <LinksUpToDate>false</LinksUpToDate>
  <CharactersWithSpaces>3221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2024-12-22T08:14:00Z</dcterms:created>
  <dc:creator>纸飞机.</dc:creator>
  <cp:lastModifiedBy>王彦成</cp:lastModifiedBy>
  <dcterms:modified xsi:type="dcterms:W3CDTF">2025-05-26T07:20:50Z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9A3DA1FC83664A62AB7CA1B0DF56B9AE_13</vt:lpwstr>
  </property>
  <property fmtid="{D5CDD505-2E9C-101B-9397-08002B2CF9AE}" pid="4" name="KSOTemplateDocerSaveRecord">
    <vt:lpwstr>eyJoZGlkIjoiMjY0ZDZjYTk5NWU3ZTcxOTMzNzkyOTE0ZjIzNmJlZTUiLCJ1c2VySWQiOiI4NzA0MDk0NTUifQ==</vt:lpwstr>
  </property>
</Properties>
</file>