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(back to Singapore)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C++ port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(redo Mash Map logic)</w:t>
            </w:r>
          </w:p>
          <w:p w:rsidR="000C5078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(Mash Map done with other minor bugs fixed)</w:t>
            </w:r>
          </w:p>
          <w:p w:rsidR="00E6166D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91D" w:rsidRDefault="0090391D" w:rsidP="00736B1C">
      <w:r>
        <w:separator/>
      </w:r>
    </w:p>
  </w:endnote>
  <w:endnote w:type="continuationSeparator" w:id="1">
    <w:p w:rsidR="0090391D" w:rsidRDefault="0090391D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91D" w:rsidRDefault="0090391D" w:rsidP="00736B1C">
      <w:r>
        <w:separator/>
      </w:r>
    </w:p>
  </w:footnote>
  <w:footnote w:type="continuationSeparator" w:id="1">
    <w:p w:rsidR="0090391D" w:rsidRDefault="0090391D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C5078"/>
    <w:rsid w:val="000E7C16"/>
    <w:rsid w:val="0012269B"/>
    <w:rsid w:val="00281196"/>
    <w:rsid w:val="002D5616"/>
    <w:rsid w:val="003359B1"/>
    <w:rsid w:val="00470396"/>
    <w:rsid w:val="00594E3D"/>
    <w:rsid w:val="00665B0C"/>
    <w:rsid w:val="00736B1C"/>
    <w:rsid w:val="00737BFE"/>
    <w:rsid w:val="008418BE"/>
    <w:rsid w:val="008E1D0F"/>
    <w:rsid w:val="0090391D"/>
    <w:rsid w:val="00A00937"/>
    <w:rsid w:val="00A80AEE"/>
    <w:rsid w:val="00AD3EE3"/>
    <w:rsid w:val="00B40F1D"/>
    <w:rsid w:val="00B92C56"/>
    <w:rsid w:val="00BB6780"/>
    <w:rsid w:val="00DA4E1E"/>
    <w:rsid w:val="00E6166D"/>
    <w:rsid w:val="00F85BFC"/>
    <w:rsid w:val="00FA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66</cp:revision>
  <dcterms:created xsi:type="dcterms:W3CDTF">2014-05-28T15:31:00Z</dcterms:created>
  <dcterms:modified xsi:type="dcterms:W3CDTF">2014-07-20T17:52:00Z</dcterms:modified>
  <dc:language>en-US</dc:language>
</cp:coreProperties>
</file>