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0F237" w14:textId="77777777" w:rsidR="004C3C8A" w:rsidRDefault="004C3C8A">
      <w:pPr>
        <w:pStyle w:val="Text"/>
        <w:ind w:firstLine="0"/>
        <w:rPr>
          <w:sz w:val="18"/>
          <w:szCs w:val="18"/>
        </w:rPr>
      </w:pPr>
    </w:p>
    <w:p w14:paraId="1D79099D" w14:textId="77777777" w:rsidR="00E97402" w:rsidRDefault="00E97402">
      <w:pPr>
        <w:pStyle w:val="Text"/>
        <w:ind w:firstLine="0"/>
        <w:rPr>
          <w:sz w:val="18"/>
          <w:szCs w:val="18"/>
        </w:rPr>
      </w:pPr>
      <w:r>
        <w:rPr>
          <w:sz w:val="18"/>
          <w:szCs w:val="18"/>
        </w:rPr>
        <w:footnoteReference w:customMarkFollows="1" w:id="1"/>
        <w:sym w:font="Symbol" w:char="F020"/>
      </w:r>
    </w:p>
    <w:p w14:paraId="47729983" w14:textId="77777777" w:rsidR="00E97402" w:rsidRPr="00FD7D4D" w:rsidRDefault="00FD7D4D" w:rsidP="00FD7D4D">
      <w:pPr>
        <w:pStyle w:val="a3"/>
        <w:framePr w:wrap="notBeside"/>
        <w:rPr>
          <w:sz w:val="40"/>
          <w:szCs w:val="40"/>
          <w:lang w:eastAsia="zh-TW"/>
        </w:rPr>
      </w:pPr>
      <w:r>
        <w:rPr>
          <w:rFonts w:hint="eastAsia"/>
          <w:lang w:eastAsia="zh-TW"/>
        </w:rPr>
        <w:t>台灣零售營業額指數與</w:t>
      </w:r>
      <w:r>
        <w:rPr>
          <w:rFonts w:hint="eastAsia"/>
          <w:lang w:eastAsia="zh-TW"/>
        </w:rPr>
        <w:t>CPI</w:t>
      </w:r>
      <w:r>
        <w:rPr>
          <w:rFonts w:hint="eastAsia"/>
          <w:lang w:eastAsia="zh-TW"/>
        </w:rPr>
        <w:t>連動性分析</w:t>
      </w:r>
    </w:p>
    <w:p w14:paraId="12780964" w14:textId="77777777" w:rsidR="00E97402" w:rsidRDefault="004C3C8A" w:rsidP="001D2180">
      <w:pPr>
        <w:pStyle w:val="ac"/>
        <w:framePr w:wrap="notBeside"/>
        <w:rPr>
          <w:lang w:eastAsia="zh-TW"/>
        </w:rPr>
      </w:pPr>
      <w:r>
        <w:rPr>
          <w:rFonts w:hint="eastAsia"/>
          <w:lang w:eastAsia="zh-TW"/>
        </w:rPr>
        <w:t xml:space="preserve">112111102 </w:t>
      </w:r>
      <w:r>
        <w:rPr>
          <w:rFonts w:hint="eastAsia"/>
          <w:lang w:eastAsia="zh-TW"/>
        </w:rPr>
        <w:t>吳映潔</w:t>
      </w:r>
    </w:p>
    <w:p w14:paraId="220CE9CB" w14:textId="63B4DD0C" w:rsidR="007B6247" w:rsidRPr="007B6247" w:rsidRDefault="0029575C" w:rsidP="00D844E8">
      <w:pPr>
        <w:pStyle w:val="Abstract"/>
        <w:rPr>
          <w:lang w:eastAsia="zh-TW"/>
        </w:rPr>
      </w:pPr>
      <w:r w:rsidRPr="00BE6FBC">
        <w:rPr>
          <w:rStyle w:val="af"/>
          <w:b/>
          <w:bCs/>
          <w:i/>
          <w:iCs/>
          <w:lang w:eastAsia="zh-TW"/>
        </w:rPr>
        <w:t>摘要</w:t>
      </w:r>
      <w:proofErr w:type="gramStart"/>
      <w:r w:rsidR="00E97402">
        <w:rPr>
          <w:lang w:eastAsia="zh-TW"/>
        </w:rPr>
        <w:t>—</w:t>
      </w:r>
      <w:proofErr w:type="gramEnd"/>
      <w:r w:rsidR="00EC1926">
        <w:rPr>
          <w:rFonts w:hint="eastAsia"/>
          <w:lang w:eastAsia="zh-TW"/>
        </w:rPr>
        <w:t xml:space="preserve"> </w:t>
      </w:r>
      <w:r w:rsidR="00EC1BBD" w:rsidRPr="00EC1BBD">
        <w:rPr>
          <w:lang w:eastAsia="zh-TW"/>
        </w:rPr>
        <w:t>本研究探討消費者物價指數（</w:t>
      </w:r>
      <w:r w:rsidR="00EC1BBD" w:rsidRPr="00EC1BBD">
        <w:rPr>
          <w:lang w:eastAsia="zh-TW"/>
        </w:rPr>
        <w:t>Consumer Price Index, CPI</w:t>
      </w:r>
      <w:r w:rsidR="00EC1BBD" w:rsidRPr="00EC1BBD">
        <w:rPr>
          <w:lang w:eastAsia="zh-TW"/>
        </w:rPr>
        <w:t>）與台灣零售業營業額指數之時序關聯性</w:t>
      </w:r>
      <w:r w:rsidR="00D844E8">
        <w:rPr>
          <w:rFonts w:hint="eastAsia"/>
          <w:lang w:eastAsia="zh-TW"/>
        </w:rPr>
        <w:t>。透過時序性分析來觀察兩者</w:t>
      </w:r>
      <w:r w:rsidR="00D559DE">
        <w:rPr>
          <w:rFonts w:hint="eastAsia"/>
          <w:lang w:eastAsia="zh-TW"/>
        </w:rPr>
        <w:t>之</w:t>
      </w:r>
      <w:r w:rsidR="00D844E8">
        <w:rPr>
          <w:rFonts w:hint="eastAsia"/>
          <w:lang w:eastAsia="zh-TW"/>
        </w:rPr>
        <w:t>關聯。</w:t>
      </w:r>
      <w:r w:rsidR="00D559DE" w:rsidRPr="00D559DE">
        <w:rPr>
          <w:lang w:eastAsia="zh-TW"/>
        </w:rPr>
        <w:t>以</w:t>
      </w:r>
      <w:r w:rsidR="00D559DE" w:rsidRPr="00D559DE">
        <w:rPr>
          <w:lang w:eastAsia="zh-TW"/>
        </w:rPr>
        <w:t xml:space="preserve"> Power BI </w:t>
      </w:r>
      <w:r w:rsidR="00D559DE" w:rsidRPr="00D559DE">
        <w:rPr>
          <w:lang w:eastAsia="zh-TW"/>
        </w:rPr>
        <w:t>整合政府開放資料，並進行時間序列趨勢分析</w:t>
      </w:r>
      <w:r w:rsidR="00D844E8" w:rsidRPr="007B6247">
        <w:rPr>
          <w:lang w:eastAsia="zh-TW"/>
        </w:rPr>
        <w:t>，進行跨變數關</w:t>
      </w:r>
      <w:r w:rsidR="00D559DE">
        <w:rPr>
          <w:rFonts w:hint="eastAsia"/>
          <w:lang w:eastAsia="zh-TW"/>
        </w:rPr>
        <w:t>係</w:t>
      </w:r>
      <w:r w:rsidR="00D844E8" w:rsidRPr="007B6247">
        <w:rPr>
          <w:lang w:eastAsia="zh-TW"/>
        </w:rPr>
        <w:t>分析。</w:t>
      </w:r>
      <w:r w:rsidR="00EC1BBD" w:rsidRPr="00EC1BBD">
        <w:rPr>
          <w:lang w:eastAsia="zh-TW"/>
        </w:rPr>
        <w:t>研究結果顯示零售營業額指數與</w:t>
      </w:r>
      <w:r w:rsidR="00EC1BBD" w:rsidRPr="00EC1BBD">
        <w:rPr>
          <w:lang w:eastAsia="zh-TW"/>
        </w:rPr>
        <w:t xml:space="preserve"> CPI </w:t>
      </w:r>
      <w:r w:rsidR="00EC1BBD" w:rsidRPr="00EC1BBD">
        <w:rPr>
          <w:lang w:eastAsia="zh-TW"/>
        </w:rPr>
        <w:t>具有高度正相關，不同零售業別</w:t>
      </w:r>
      <w:proofErr w:type="gramStart"/>
      <w:r w:rsidR="00EC1BBD" w:rsidRPr="00EC1BBD">
        <w:rPr>
          <w:lang w:eastAsia="zh-TW"/>
        </w:rPr>
        <w:t>之</w:t>
      </w:r>
      <w:proofErr w:type="gramEnd"/>
      <w:r w:rsidR="00EC1BBD" w:rsidRPr="00EC1BBD">
        <w:rPr>
          <w:lang w:eastAsia="zh-TW"/>
        </w:rPr>
        <w:t>營業額變化亦呈現不同的時序特徵。分析結果可作為零售產業進行營運規劃、庫存管理及市場趨勢觀察之參考依據。</w:t>
      </w:r>
    </w:p>
    <w:p w14:paraId="7C000AAF" w14:textId="77777777" w:rsidR="006B5C6C" w:rsidRPr="00770B7A" w:rsidRDefault="006B5C6C" w:rsidP="006B5C6C">
      <w:pPr>
        <w:rPr>
          <w:lang w:eastAsia="zh-TW"/>
        </w:rPr>
      </w:pPr>
    </w:p>
    <w:p w14:paraId="28A6E5D2" w14:textId="2E1541D6" w:rsidR="00E97402" w:rsidRDefault="00266A6A" w:rsidP="002614A4">
      <w:pPr>
        <w:pStyle w:val="IndexTerms"/>
        <w:rPr>
          <w:lang w:eastAsia="zh-TW"/>
        </w:rPr>
      </w:pPr>
      <w:bookmarkStart w:id="0" w:name="PointTmp"/>
      <w:r w:rsidRPr="00BE6FBC">
        <w:rPr>
          <w:rStyle w:val="af"/>
          <w:b/>
          <w:bCs/>
          <w:i/>
          <w:iCs/>
          <w:lang w:eastAsia="zh-TW"/>
        </w:rPr>
        <w:t>關鍵字</w:t>
      </w:r>
      <w:proofErr w:type="gramStart"/>
      <w:r w:rsidR="00E97402">
        <w:rPr>
          <w:lang w:eastAsia="zh-TW"/>
        </w:rPr>
        <w:t>—</w:t>
      </w:r>
      <w:proofErr w:type="gramEnd"/>
      <w:r w:rsidR="00EC1926">
        <w:rPr>
          <w:rFonts w:hint="eastAsia"/>
          <w:lang w:eastAsia="zh-TW"/>
        </w:rPr>
        <w:t xml:space="preserve"> </w:t>
      </w:r>
      <w:r w:rsidR="00B429CF">
        <w:rPr>
          <w:rFonts w:hint="eastAsia"/>
          <w:lang w:eastAsia="zh-TW"/>
        </w:rPr>
        <w:t>零售業營業額指數</w:t>
      </w:r>
      <w:r w:rsidR="00380E59">
        <w:rPr>
          <w:rFonts w:hint="eastAsia"/>
          <w:lang w:eastAsia="zh-TW"/>
        </w:rPr>
        <w:t>、</w:t>
      </w:r>
      <w:r w:rsidR="00B429CF">
        <w:rPr>
          <w:rFonts w:hint="eastAsia"/>
          <w:lang w:eastAsia="zh-TW"/>
        </w:rPr>
        <w:t>消費者物價指數、商業智慧、時序分析</w:t>
      </w:r>
    </w:p>
    <w:bookmarkEnd w:id="0"/>
    <w:p w14:paraId="25CB61B6" w14:textId="77777777" w:rsidR="00E97402" w:rsidRDefault="00945D89">
      <w:pPr>
        <w:pStyle w:val="1"/>
        <w:rPr>
          <w:lang w:eastAsia="zh-TW"/>
        </w:rPr>
      </w:pPr>
      <w:r>
        <w:rPr>
          <w:rFonts w:hint="eastAsia"/>
          <w:lang w:eastAsia="zh-TW"/>
        </w:rPr>
        <w:t>導論</w:t>
      </w:r>
    </w:p>
    <w:p w14:paraId="06705458" w14:textId="38294444" w:rsidR="00FD7D4D" w:rsidRDefault="00B21803" w:rsidP="00FD7D4D">
      <w:pPr>
        <w:pStyle w:val="2"/>
        <w:rPr>
          <w:lang w:eastAsia="zh-TW"/>
        </w:rPr>
      </w:pPr>
      <w:r>
        <w:rPr>
          <w:rFonts w:hint="eastAsia"/>
          <w:lang w:eastAsia="zh-TW"/>
        </w:rPr>
        <w:t>研究背景與</w:t>
      </w:r>
      <w:r w:rsidR="00B429CF">
        <w:rPr>
          <w:rFonts w:hint="eastAsia"/>
          <w:lang w:eastAsia="zh-TW"/>
        </w:rPr>
        <w:t>應用場景</w:t>
      </w:r>
    </w:p>
    <w:p w14:paraId="2C45DC74" w14:textId="31412D3C" w:rsidR="00B21803" w:rsidRDefault="00B21803" w:rsidP="00B21803">
      <w:pPr>
        <w:pStyle w:val="af0"/>
      </w:pPr>
      <w:r>
        <w:rPr>
          <w:rFonts w:hint="eastAsia"/>
        </w:rPr>
        <w:t>零售業營業額指數為衡量國內消費市場活動的重要經濟指標，其長期變化可反映市場需求、產業發展及消費行為之變動趨勢</w:t>
      </w:r>
      <w:r>
        <w:rPr>
          <w:rFonts w:hint="eastAsia"/>
        </w:rPr>
        <w:t xml:space="preserve"> </w:t>
      </w:r>
      <w:r>
        <w:fldChar w:fldCharType="begin"/>
      </w:r>
      <w:r>
        <w:instrText xml:space="preserve"> </w:instrText>
      </w:r>
      <w:r>
        <w:rPr>
          <w:rFonts w:hint="eastAsia"/>
        </w:rPr>
        <w:instrText>REF _Ref231313450 \r \h</w:instrText>
      </w:r>
      <w:r>
        <w:instrText xml:space="preserve"> </w:instrText>
      </w:r>
      <w:r>
        <w:fldChar w:fldCharType="separate"/>
      </w:r>
      <w:r>
        <w:t>[1]</w:t>
      </w:r>
      <w:r>
        <w:fldChar w:fldCharType="end"/>
      </w:r>
      <w:r>
        <w:rPr>
          <w:rFonts w:hint="eastAsia"/>
        </w:rPr>
        <w:t>。另一方面，消費者物價指數為衡量整體商品與服務價格變動之重要指標，可用以觀察通貨膨脹對市場環境造成之影響</w:t>
      </w:r>
      <w:r>
        <w:rPr>
          <w:rFonts w:hint="eastAsia"/>
        </w:rPr>
        <w:t xml:space="preserve"> </w:t>
      </w:r>
      <w:r>
        <w:fldChar w:fldCharType="begin"/>
      </w:r>
      <w:r>
        <w:instrText xml:space="preserve"> </w:instrText>
      </w:r>
      <w:r>
        <w:rPr>
          <w:rFonts w:hint="eastAsia"/>
        </w:rPr>
        <w:instrText>REF _Ref231313508 \r \h</w:instrText>
      </w:r>
      <w:r>
        <w:instrText xml:space="preserve"> </w:instrText>
      </w:r>
      <w:r>
        <w:fldChar w:fldCharType="separate"/>
      </w:r>
      <w:r>
        <w:t>[2]</w:t>
      </w:r>
      <w:r>
        <w:fldChar w:fldCharType="end"/>
      </w:r>
      <w:r>
        <w:rPr>
          <w:rFonts w:hint="eastAsia"/>
        </w:rPr>
        <w:t>。</w:t>
      </w:r>
    </w:p>
    <w:p w14:paraId="0F2705D1" w14:textId="77777777" w:rsidR="00B21803" w:rsidRDefault="00B21803" w:rsidP="00B21803">
      <w:pPr>
        <w:pStyle w:val="af0"/>
      </w:pPr>
    </w:p>
    <w:p w14:paraId="39B7288A" w14:textId="57352E58" w:rsidR="00B21803" w:rsidRPr="00B429CF" w:rsidRDefault="00B21803" w:rsidP="004F7016">
      <w:pPr>
        <w:pStyle w:val="af0"/>
      </w:pPr>
      <w:r>
        <w:rPr>
          <w:rFonts w:hint="eastAsia"/>
        </w:rPr>
        <w:t>在物價持續變動之市場環境中，零售營業額之增加可能受到商品價格提升、消費數量改變或市場規模變化等多項因素影響。因此，若僅透過名目營業額數值進行市場判斷，可能無法完整反映零售市場之實際變化。透過零售營業額指數與</w:t>
      </w:r>
      <w:r>
        <w:rPr>
          <w:rFonts w:hint="eastAsia"/>
        </w:rPr>
        <w:t xml:space="preserve"> CPI </w:t>
      </w:r>
      <w:r>
        <w:rPr>
          <w:rFonts w:hint="eastAsia"/>
        </w:rPr>
        <w:t>之交互分析，可提供不同時間尺度下市場變化之參考依據。</w:t>
      </w:r>
    </w:p>
    <w:p w14:paraId="72D7D8CF" w14:textId="77777777" w:rsidR="00FD7D4D" w:rsidRDefault="00B429CF" w:rsidP="00FD7D4D">
      <w:pPr>
        <w:pStyle w:val="2"/>
        <w:rPr>
          <w:lang w:eastAsia="zh-TW"/>
        </w:rPr>
      </w:pPr>
      <w:r>
        <w:rPr>
          <w:rFonts w:hint="eastAsia"/>
          <w:lang w:eastAsia="zh-TW"/>
        </w:rPr>
        <w:t>研究動機與問題陳述</w:t>
      </w:r>
    </w:p>
    <w:p w14:paraId="72AC419A" w14:textId="77777777" w:rsidR="00B21803" w:rsidRDefault="00B21803" w:rsidP="00B21803">
      <w:pPr>
        <w:pStyle w:val="af0"/>
      </w:pPr>
      <w:r>
        <w:rPr>
          <w:rFonts w:hint="eastAsia"/>
        </w:rPr>
        <w:t>傳統零售市場分析多依賴靜態統計報表或單一指標進行判讀，然而該類分析方式較難同時整合時間、產業類別及價格變化等多項資訊。</w:t>
      </w:r>
      <w:proofErr w:type="gramStart"/>
      <w:r>
        <w:rPr>
          <w:rFonts w:hint="eastAsia"/>
        </w:rPr>
        <w:t>此外，</w:t>
      </w:r>
      <w:proofErr w:type="gramEnd"/>
      <w:r>
        <w:rPr>
          <w:rFonts w:hint="eastAsia"/>
        </w:rPr>
        <w:t>不同零售通路可能具有不同之市場發展特徵，</w:t>
      </w:r>
      <w:proofErr w:type="gramStart"/>
      <w:r>
        <w:rPr>
          <w:rFonts w:hint="eastAsia"/>
        </w:rPr>
        <w:t>因此跨維度</w:t>
      </w:r>
      <w:proofErr w:type="gramEnd"/>
      <w:r>
        <w:rPr>
          <w:rFonts w:hint="eastAsia"/>
        </w:rPr>
        <w:t>資料整合與長期時間序列分析具有其必要性。</w:t>
      </w:r>
    </w:p>
    <w:p w14:paraId="555DAB27" w14:textId="77777777" w:rsidR="00B21803" w:rsidRDefault="00B21803" w:rsidP="00B21803">
      <w:pPr>
        <w:pStyle w:val="af0"/>
      </w:pPr>
    </w:p>
    <w:p w14:paraId="5622E661" w14:textId="32D6D566" w:rsidR="00B21803" w:rsidRPr="00B429CF" w:rsidRDefault="00B21803" w:rsidP="004F7016">
      <w:pPr>
        <w:pStyle w:val="af0"/>
      </w:pPr>
      <w:r>
        <w:rPr>
          <w:rFonts w:hint="eastAsia"/>
        </w:rPr>
        <w:t>本研究主要探討三項問題：（</w:t>
      </w:r>
      <w:r>
        <w:rPr>
          <w:rFonts w:hint="eastAsia"/>
        </w:rPr>
        <w:t>1</w:t>
      </w:r>
      <w:r>
        <w:rPr>
          <w:rFonts w:hint="eastAsia"/>
        </w:rPr>
        <w:t>）台灣零售業營業額指數與</w:t>
      </w:r>
      <w:r>
        <w:rPr>
          <w:rFonts w:hint="eastAsia"/>
        </w:rPr>
        <w:t xml:space="preserve"> CPI </w:t>
      </w:r>
      <w:r>
        <w:rPr>
          <w:rFonts w:hint="eastAsia"/>
        </w:rPr>
        <w:t>是否存在長期統計關聯；（</w:t>
      </w:r>
      <w:r>
        <w:rPr>
          <w:rFonts w:hint="eastAsia"/>
        </w:rPr>
        <w:t>2</w:t>
      </w:r>
      <w:r>
        <w:rPr>
          <w:rFonts w:hint="eastAsia"/>
        </w:rPr>
        <w:t>）不同零售通路之營業額變化是否呈現差異化趨勢；（</w:t>
      </w:r>
      <w:r>
        <w:rPr>
          <w:rFonts w:hint="eastAsia"/>
        </w:rPr>
        <w:t>3</w:t>
      </w:r>
      <w:r>
        <w:rPr>
          <w:rFonts w:hint="eastAsia"/>
        </w:rPr>
        <w:t>）價格因素調整後之實質營業額與名目營業額是否存在不同之變化特徵。</w:t>
      </w:r>
    </w:p>
    <w:p w14:paraId="2E56065C" w14:textId="30826D58" w:rsidR="00FD7D4D" w:rsidRPr="00B21803" w:rsidRDefault="00B21803" w:rsidP="00FD7D4D">
      <w:pPr>
        <w:pStyle w:val="2"/>
        <w:rPr>
          <w:lang w:eastAsia="zh-TW"/>
        </w:rPr>
      </w:pPr>
      <w:r>
        <w:rPr>
          <w:rFonts w:hint="eastAsia"/>
          <w:lang w:eastAsia="zh-TW"/>
        </w:rPr>
        <w:t>研究目的</w:t>
      </w:r>
    </w:p>
    <w:p w14:paraId="1F96E4A6" w14:textId="45264D04" w:rsidR="00B21803" w:rsidRDefault="00B21803" w:rsidP="00B21803">
      <w:pPr>
        <w:pStyle w:val="af0"/>
      </w:pPr>
      <w:r>
        <w:rPr>
          <w:rFonts w:hint="eastAsia"/>
        </w:rPr>
        <w:t>本研究透過</w:t>
      </w:r>
      <w:r>
        <w:rPr>
          <w:rFonts w:hint="eastAsia"/>
        </w:rPr>
        <w:t xml:space="preserve"> Power BI </w:t>
      </w:r>
      <w:r>
        <w:rPr>
          <w:rFonts w:hint="eastAsia"/>
        </w:rPr>
        <w:t>建立互動式商業智慧儀表板，整合零售營業額資料與</w:t>
      </w:r>
      <w:r>
        <w:rPr>
          <w:rFonts w:hint="eastAsia"/>
        </w:rPr>
        <w:t xml:space="preserve"> CPI </w:t>
      </w:r>
      <w:r>
        <w:rPr>
          <w:rFonts w:hint="eastAsia"/>
        </w:rPr>
        <w:t>資料，並透過</w:t>
      </w:r>
      <w:r>
        <w:rPr>
          <w:rFonts w:hint="eastAsia"/>
        </w:rPr>
        <w:t xml:space="preserve"> DAX </w:t>
      </w:r>
      <w:r>
        <w:rPr>
          <w:rFonts w:hint="eastAsia"/>
        </w:rPr>
        <w:t>建立年增率、相關係數與實質營業額等分析指標</w:t>
      </w:r>
      <w:r>
        <w:rPr>
          <w:rFonts w:hint="eastAsia"/>
        </w:rPr>
        <w:t xml:space="preserve"> </w:t>
      </w:r>
      <w:r>
        <w:fldChar w:fldCharType="begin"/>
      </w:r>
      <w:r>
        <w:instrText xml:space="preserve"> </w:instrText>
      </w:r>
      <w:r>
        <w:rPr>
          <w:rFonts w:hint="eastAsia"/>
        </w:rPr>
        <w:instrText>REF _Ref231313536 \r \h</w:instrText>
      </w:r>
      <w:r>
        <w:instrText xml:space="preserve"> </w:instrText>
      </w:r>
      <w:r>
        <w:fldChar w:fldCharType="separate"/>
      </w:r>
      <w:r>
        <w:t>[3]</w:t>
      </w:r>
      <w:r>
        <w:fldChar w:fldCharType="end"/>
      </w:r>
      <w:r>
        <w:rPr>
          <w:rFonts w:hint="eastAsia"/>
        </w:rPr>
        <w:t>。</w:t>
      </w:r>
    </w:p>
    <w:p w14:paraId="7ACE87EC" w14:textId="77777777" w:rsidR="00B21803" w:rsidRDefault="00B21803" w:rsidP="00B21803">
      <w:pPr>
        <w:pStyle w:val="af0"/>
      </w:pPr>
    </w:p>
    <w:p w14:paraId="353EC174" w14:textId="60415DD8" w:rsidR="004F7016" w:rsidRPr="004F7016" w:rsidRDefault="00B21803" w:rsidP="00B21803">
      <w:pPr>
        <w:pStyle w:val="af0"/>
      </w:pPr>
      <w:r>
        <w:rPr>
          <w:rFonts w:hint="eastAsia"/>
        </w:rPr>
        <w:t>藉由多維度資料分析架構之建立，不同年度、不同零售通路以及不同時間範圍之資料得以被動態比較，以提升零售市場變化分析之完整性。</w:t>
      </w:r>
    </w:p>
    <w:p w14:paraId="4390444D" w14:textId="29464ABD" w:rsidR="004F7016" w:rsidRDefault="00B21803" w:rsidP="004F7016">
      <w:pPr>
        <w:pStyle w:val="2"/>
        <w:rPr>
          <w:lang w:eastAsia="zh-TW"/>
        </w:rPr>
      </w:pPr>
      <w:r>
        <w:rPr>
          <w:rFonts w:hint="eastAsia"/>
          <w:lang w:eastAsia="zh-TW"/>
        </w:rPr>
        <w:t>研究方法與流程</w:t>
      </w:r>
    </w:p>
    <w:p w14:paraId="56F2D875" w14:textId="174FF9AC" w:rsidR="00B21803" w:rsidRDefault="00733A7B" w:rsidP="00B21803">
      <w:pPr>
        <w:pStyle w:val="af0"/>
      </w:pPr>
      <w:r w:rsidRPr="00733A7B">
        <w:t>定量時間序列分析方法被採用作為本研究之主要分析架構</w:t>
      </w:r>
      <w:r w:rsidR="00B21803">
        <w:rPr>
          <w:rFonts w:hint="eastAsia"/>
        </w:rPr>
        <w:t>，資料來源包含政府公開統計資料</w:t>
      </w:r>
      <w:r w:rsidR="00B21803">
        <w:rPr>
          <w:rFonts w:hint="eastAsia"/>
        </w:rPr>
        <w:t xml:space="preserve"> </w:t>
      </w:r>
      <w:r w:rsidR="00B21803">
        <w:fldChar w:fldCharType="begin"/>
      </w:r>
      <w:r w:rsidR="00B21803">
        <w:instrText xml:space="preserve"> </w:instrText>
      </w:r>
      <w:r w:rsidR="00B21803">
        <w:rPr>
          <w:rFonts w:hint="eastAsia"/>
        </w:rPr>
        <w:instrText>REF _Ref231313450 \r \h</w:instrText>
      </w:r>
      <w:r w:rsidR="00B21803">
        <w:instrText xml:space="preserve"> </w:instrText>
      </w:r>
      <w:r w:rsidR="00B21803">
        <w:fldChar w:fldCharType="separate"/>
      </w:r>
      <w:r w:rsidR="00B21803">
        <w:t>[1]</w:t>
      </w:r>
      <w:r w:rsidR="00B21803">
        <w:fldChar w:fldCharType="end"/>
      </w:r>
      <w:r w:rsidR="00B21803">
        <w:fldChar w:fldCharType="begin"/>
      </w:r>
      <w:r w:rsidR="00B21803">
        <w:instrText xml:space="preserve"> REF _Ref231313508 \r \h </w:instrText>
      </w:r>
      <w:r w:rsidR="00B21803">
        <w:fldChar w:fldCharType="separate"/>
      </w:r>
      <w:r w:rsidR="00B21803">
        <w:t>[2]</w:t>
      </w:r>
      <w:r w:rsidR="00B21803">
        <w:fldChar w:fldCharType="end"/>
      </w:r>
      <w:r w:rsidR="00B21803">
        <w:rPr>
          <w:rFonts w:hint="eastAsia"/>
        </w:rPr>
        <w:t>。</w:t>
      </w:r>
      <w:r w:rsidR="003D4A73" w:rsidRPr="003D4A73">
        <w:t>資料前處理與模型建立於</w:t>
      </w:r>
      <w:r w:rsidR="003D4A73" w:rsidRPr="003D4A73">
        <w:t xml:space="preserve"> Power BI </w:t>
      </w:r>
      <w:r w:rsidR="003D4A73" w:rsidRPr="003D4A73">
        <w:t>平台完成，其中包含</w:t>
      </w:r>
      <w:r w:rsidR="003D4A73" w:rsidRPr="003D4A73">
        <w:t xml:space="preserve"> ETL </w:t>
      </w:r>
      <w:r w:rsidR="003D4A73" w:rsidRPr="003D4A73">
        <w:t>流程、資料格式轉換、資料關聯建立以及視覺化儀表板建立</w:t>
      </w:r>
      <w:r w:rsidR="00B21803">
        <w:rPr>
          <w:rFonts w:hint="eastAsia"/>
        </w:rPr>
        <w:t xml:space="preserve"> </w:t>
      </w:r>
      <w:r w:rsidR="00B21803">
        <w:fldChar w:fldCharType="begin"/>
      </w:r>
      <w:r w:rsidR="00B21803">
        <w:instrText xml:space="preserve"> </w:instrText>
      </w:r>
      <w:r w:rsidR="00B21803">
        <w:rPr>
          <w:rFonts w:hint="eastAsia"/>
        </w:rPr>
        <w:instrText>REF _Ref231313536 \r \h</w:instrText>
      </w:r>
      <w:r w:rsidR="00B21803">
        <w:instrText xml:space="preserve"> </w:instrText>
      </w:r>
      <w:r w:rsidR="00B21803">
        <w:fldChar w:fldCharType="separate"/>
      </w:r>
      <w:r w:rsidR="00B21803">
        <w:t>[3]</w:t>
      </w:r>
      <w:r w:rsidR="00B21803">
        <w:fldChar w:fldCharType="end"/>
      </w:r>
      <w:r w:rsidR="00B21803">
        <w:rPr>
          <w:rFonts w:hint="eastAsia"/>
        </w:rPr>
        <w:t>。</w:t>
      </w:r>
    </w:p>
    <w:p w14:paraId="4835E6A0" w14:textId="77777777" w:rsidR="00B21803" w:rsidRDefault="00B21803" w:rsidP="00B21803">
      <w:pPr>
        <w:pStyle w:val="af0"/>
      </w:pPr>
    </w:p>
    <w:p w14:paraId="5A368F20" w14:textId="4E05BBFC" w:rsidR="008B09B6" w:rsidRDefault="00B21803" w:rsidP="00B21803">
      <w:pPr>
        <w:pStyle w:val="af0"/>
      </w:pPr>
      <w:r>
        <w:rPr>
          <w:rFonts w:hint="eastAsia"/>
        </w:rPr>
        <w:t>分析過程包含營業額年增率計算、皮爾森相關分析、實質營業額修正以及時間序列趨勢觀察。相關統計方法主要參考時間序列分析與統計學相關理論</w:t>
      </w:r>
      <w:r>
        <w:rPr>
          <w:rFonts w:hint="eastAsia"/>
        </w:rPr>
        <w:t xml:space="preserve"> </w:t>
      </w:r>
      <w:r>
        <w:fldChar w:fldCharType="begin"/>
      </w:r>
      <w:r>
        <w:instrText xml:space="preserve"> </w:instrText>
      </w:r>
      <w:r>
        <w:rPr>
          <w:rFonts w:hint="eastAsia"/>
        </w:rPr>
        <w:instrText>REF _Ref231313487 \r \h</w:instrText>
      </w:r>
      <w:r>
        <w:instrText xml:space="preserve"> </w:instrText>
      </w:r>
      <w:r>
        <w:fldChar w:fldCharType="separate"/>
      </w:r>
      <w:r>
        <w:t>[</w:t>
      </w:r>
      <w:r w:rsidR="00AB0D5B">
        <w:rPr>
          <w:rFonts w:hint="eastAsia"/>
        </w:rPr>
        <w:t>4</w:t>
      </w:r>
      <w:r>
        <w:t>]</w:t>
      </w:r>
      <w:r>
        <w:fldChar w:fldCharType="end"/>
      </w:r>
      <w:r>
        <w:fldChar w:fldCharType="begin"/>
      </w:r>
      <w:r>
        <w:instrText xml:space="preserve"> REF _Ref231313660 \r \h </w:instrText>
      </w:r>
      <w:r>
        <w:fldChar w:fldCharType="separate"/>
      </w:r>
      <w:r>
        <w:t>[</w:t>
      </w:r>
      <w:r w:rsidR="0015449F">
        <w:rPr>
          <w:rFonts w:hint="eastAsia"/>
        </w:rPr>
        <w:t>5</w:t>
      </w:r>
      <w:r>
        <w:t>]</w:t>
      </w:r>
      <w:r>
        <w:fldChar w:fldCharType="end"/>
      </w:r>
      <w:r>
        <w:rPr>
          <w:rFonts w:hint="eastAsia"/>
        </w:rPr>
        <w:t>。</w:t>
      </w:r>
    </w:p>
    <w:p w14:paraId="7A1D9889" w14:textId="77777777" w:rsidR="00E97402" w:rsidRDefault="004415CA">
      <w:pPr>
        <w:pStyle w:val="1"/>
      </w:pPr>
      <w:r>
        <w:rPr>
          <w:rFonts w:hint="eastAsia"/>
          <w:lang w:eastAsia="zh-TW"/>
        </w:rPr>
        <w:t>背景與</w:t>
      </w:r>
      <w:r w:rsidR="002D677C">
        <w:rPr>
          <w:rFonts w:hint="eastAsia"/>
          <w:lang w:eastAsia="zh-TW"/>
        </w:rPr>
        <w:t>相關文獻</w:t>
      </w:r>
    </w:p>
    <w:p w14:paraId="5C71BEC6" w14:textId="5E854CD6" w:rsidR="00E97402" w:rsidRDefault="001061D6">
      <w:pPr>
        <w:pStyle w:val="2"/>
        <w:rPr>
          <w:lang w:eastAsia="zh-TW"/>
        </w:rPr>
      </w:pPr>
      <w:r w:rsidRPr="001061D6">
        <w:rPr>
          <w:rFonts w:hint="eastAsia"/>
          <w:lang w:eastAsia="zh-TW"/>
        </w:rPr>
        <w:t>傳統</w:t>
      </w:r>
      <w:r w:rsidR="00B21803">
        <w:rPr>
          <w:rFonts w:hint="eastAsia"/>
          <w:lang w:eastAsia="zh-TW"/>
        </w:rPr>
        <w:t>零售資料分析之限制</w:t>
      </w:r>
    </w:p>
    <w:p w14:paraId="2E03FE02" w14:textId="150A116C" w:rsidR="00B21803" w:rsidRDefault="00B21803" w:rsidP="00B21803">
      <w:pPr>
        <w:pStyle w:val="af0"/>
      </w:pPr>
      <w:r>
        <w:rPr>
          <w:rFonts w:hint="eastAsia"/>
        </w:rPr>
        <w:t>傳統零售市場分析通常以年度報表或單一期間之統計資料為主要分析依據。然而，靜態報表較難呈現長期時間變化趨勢，亦不易同時分析物價變動與零售營業額之關聯性。</w:t>
      </w:r>
    </w:p>
    <w:p w14:paraId="0848B848" w14:textId="77777777" w:rsidR="00B21803" w:rsidRDefault="00B21803" w:rsidP="00B21803">
      <w:pPr>
        <w:pStyle w:val="af0"/>
      </w:pPr>
    </w:p>
    <w:p w14:paraId="7D3181B9" w14:textId="2DBF2119" w:rsidR="00B21803" w:rsidRDefault="00B21803" w:rsidP="00B21803">
      <w:pPr>
        <w:pStyle w:val="af0"/>
      </w:pPr>
      <w:proofErr w:type="gramStart"/>
      <w:r>
        <w:rPr>
          <w:rFonts w:hint="eastAsia"/>
        </w:rPr>
        <w:t>此外，</w:t>
      </w:r>
      <w:proofErr w:type="gramEnd"/>
      <w:r>
        <w:rPr>
          <w:rFonts w:hint="eastAsia"/>
        </w:rPr>
        <w:t>當資料來源包含不同統計單位與時間格式時，若未經適當之資料整合與轉換，可能降低分析結果之一致性。因此，具有多維度分析能力之資料模型於商業資料分析中具有重要角色。</w:t>
      </w:r>
    </w:p>
    <w:p w14:paraId="19425E00" w14:textId="40EEC030" w:rsidR="00E97402" w:rsidRDefault="001061D6" w:rsidP="00442C31">
      <w:pPr>
        <w:pStyle w:val="2"/>
        <w:rPr>
          <w:lang w:eastAsia="zh-TW"/>
        </w:rPr>
      </w:pPr>
      <w:r w:rsidRPr="001061D6">
        <w:rPr>
          <w:rFonts w:hint="eastAsia"/>
          <w:lang w:eastAsia="zh-TW"/>
        </w:rPr>
        <w:t>商業智慧</w:t>
      </w:r>
      <w:r w:rsidR="00B21803">
        <w:rPr>
          <w:rFonts w:hint="eastAsia"/>
          <w:lang w:eastAsia="zh-TW"/>
        </w:rPr>
        <w:t>於時間序列分析之應用</w:t>
      </w:r>
    </w:p>
    <w:p w14:paraId="2DA2BB5F" w14:textId="0CAE1038" w:rsidR="00B21803" w:rsidRDefault="00B21803" w:rsidP="00B21803">
      <w:pPr>
        <w:pStyle w:val="af0"/>
      </w:pPr>
      <w:r>
        <w:rPr>
          <w:rFonts w:hint="eastAsia"/>
        </w:rPr>
        <w:t>商業智慧系統可整合大量異質資料來源，並透過視覺化技術提升資料分析效率</w:t>
      </w:r>
      <w:r>
        <w:rPr>
          <w:rFonts w:hint="eastAsia"/>
        </w:rPr>
        <w:t xml:space="preserve"> </w:t>
      </w:r>
      <w:r>
        <w:fldChar w:fldCharType="begin"/>
      </w:r>
      <w:r>
        <w:instrText xml:space="preserve"> </w:instrText>
      </w:r>
      <w:r>
        <w:rPr>
          <w:rFonts w:hint="eastAsia"/>
        </w:rPr>
        <w:instrText>REF _Ref231313523 \r \h</w:instrText>
      </w:r>
      <w:r>
        <w:instrText xml:space="preserve"> </w:instrText>
      </w:r>
      <w:r>
        <w:fldChar w:fldCharType="separate"/>
      </w:r>
      <w:r>
        <w:t>[</w:t>
      </w:r>
      <w:r w:rsidR="0015449F">
        <w:rPr>
          <w:rFonts w:hint="eastAsia"/>
        </w:rPr>
        <w:t>6</w:t>
      </w:r>
      <w:r>
        <w:t>]</w:t>
      </w:r>
      <w:r>
        <w:fldChar w:fldCharType="end"/>
      </w:r>
      <w:r>
        <w:rPr>
          <w:rFonts w:hint="eastAsia"/>
        </w:rPr>
        <w:t>。其中，</w:t>
      </w:r>
      <w:r>
        <w:rPr>
          <w:rFonts w:hint="eastAsia"/>
        </w:rPr>
        <w:t xml:space="preserve">Power BI </w:t>
      </w:r>
      <w:r>
        <w:rPr>
          <w:rFonts w:hint="eastAsia"/>
        </w:rPr>
        <w:t>可提供資料處理、模型建構、</w:t>
      </w:r>
      <w:r>
        <w:rPr>
          <w:rFonts w:hint="eastAsia"/>
        </w:rPr>
        <w:t xml:space="preserve">DAX </w:t>
      </w:r>
      <w:r>
        <w:rPr>
          <w:rFonts w:hint="eastAsia"/>
        </w:rPr>
        <w:t>度量值計算及互動式儀表板功能</w:t>
      </w:r>
      <w:r>
        <w:rPr>
          <w:rFonts w:hint="eastAsia"/>
        </w:rPr>
        <w:t xml:space="preserve"> </w:t>
      </w:r>
      <w:r>
        <w:fldChar w:fldCharType="begin"/>
      </w:r>
      <w:r>
        <w:instrText xml:space="preserve"> </w:instrText>
      </w:r>
      <w:r>
        <w:rPr>
          <w:rFonts w:hint="eastAsia"/>
        </w:rPr>
        <w:instrText>REF _Ref231313536 \r \h</w:instrText>
      </w:r>
      <w:r>
        <w:instrText xml:space="preserve"> </w:instrText>
      </w:r>
      <w:r>
        <w:fldChar w:fldCharType="separate"/>
      </w:r>
      <w:r>
        <w:t>[3]</w:t>
      </w:r>
      <w:r>
        <w:fldChar w:fldCharType="end"/>
      </w:r>
      <w:r>
        <w:rPr>
          <w:rFonts w:hint="eastAsia"/>
        </w:rPr>
        <w:t>。</w:t>
      </w:r>
    </w:p>
    <w:p w14:paraId="56FAF278" w14:textId="77777777" w:rsidR="00B21803" w:rsidRDefault="00B21803" w:rsidP="00B21803">
      <w:pPr>
        <w:pStyle w:val="af0"/>
      </w:pPr>
    </w:p>
    <w:p w14:paraId="74D9F81D" w14:textId="0632F8A2" w:rsidR="00B21803" w:rsidRPr="00B21803" w:rsidRDefault="00031C3A" w:rsidP="00B21803">
      <w:pPr>
        <w:pStyle w:val="af0"/>
      </w:pPr>
      <w:r w:rsidRPr="00031C3A">
        <w:t>透過</w:t>
      </w:r>
      <w:r w:rsidRPr="00031C3A">
        <w:t xml:space="preserve"> Power BI </w:t>
      </w:r>
      <w:r w:rsidRPr="00031C3A">
        <w:t>的資料模型與資料關聯功能，可整合不同資料來源並建立一致的分析架構，提升跨資料來源之分析效率</w:t>
      </w:r>
      <w:r w:rsidR="00B21803">
        <w:rPr>
          <w:rFonts w:hint="eastAsia"/>
        </w:rPr>
        <w:t>。因此，將商業智慧工具結合時間序列分析，可提供零售市場長期趨勢之觀察方式。</w:t>
      </w:r>
    </w:p>
    <w:p w14:paraId="4A4E1248" w14:textId="77777777" w:rsidR="00E97402" w:rsidRDefault="00E24F10">
      <w:pPr>
        <w:pStyle w:val="1"/>
      </w:pPr>
      <w:r>
        <w:rPr>
          <w:rFonts w:hint="eastAsia"/>
          <w:lang w:eastAsia="zh-TW"/>
        </w:rPr>
        <w:t>提出方法</w:t>
      </w:r>
    </w:p>
    <w:p w14:paraId="30203364" w14:textId="77777777" w:rsidR="00E97402" w:rsidRDefault="001061D6" w:rsidP="001061D6">
      <w:pPr>
        <w:pStyle w:val="2"/>
        <w:rPr>
          <w:lang w:eastAsia="zh-TW"/>
        </w:rPr>
      </w:pPr>
      <w:r w:rsidRPr="001061D6">
        <w:rPr>
          <w:rFonts w:hint="eastAsia"/>
          <w:lang w:eastAsia="zh-TW"/>
        </w:rPr>
        <w:t>資料</w:t>
      </w:r>
      <w:r w:rsidR="000D314D">
        <w:rPr>
          <w:rFonts w:hint="eastAsia"/>
          <w:lang w:eastAsia="zh-TW"/>
        </w:rPr>
        <w:t>來源與處理</w:t>
      </w:r>
    </w:p>
    <w:p w14:paraId="3A671ED0" w14:textId="74101CAA" w:rsidR="00457927" w:rsidRDefault="00457927" w:rsidP="00457927">
      <w:pPr>
        <w:pStyle w:val="af0"/>
      </w:pPr>
      <w:r>
        <w:rPr>
          <w:rFonts w:hint="eastAsia"/>
        </w:rPr>
        <w:t>本研究所使用之資料主要來自經濟部統計處公布之零售業營業額指數，以及行政院主計總處公布之消費者物價指數</w:t>
      </w:r>
      <w:r>
        <w:rPr>
          <w:rFonts w:hint="eastAsia"/>
        </w:rPr>
        <w:t xml:space="preserve"> </w:t>
      </w:r>
      <w:r>
        <w:fldChar w:fldCharType="begin"/>
      </w:r>
      <w:r>
        <w:instrText xml:space="preserve"> </w:instrText>
      </w:r>
      <w:r>
        <w:rPr>
          <w:rFonts w:hint="eastAsia"/>
        </w:rPr>
        <w:instrText>REF _Ref231313450 \r \h</w:instrText>
      </w:r>
      <w:r>
        <w:instrText xml:space="preserve"> </w:instrText>
      </w:r>
      <w:r>
        <w:fldChar w:fldCharType="separate"/>
      </w:r>
      <w:r>
        <w:t>[1]</w:t>
      </w:r>
      <w:r>
        <w:fldChar w:fldCharType="end"/>
      </w:r>
      <w:r>
        <w:fldChar w:fldCharType="begin"/>
      </w:r>
      <w:r>
        <w:instrText xml:space="preserve"> REF _Ref231313508 \r \h </w:instrText>
      </w:r>
      <w:r>
        <w:fldChar w:fldCharType="separate"/>
      </w:r>
      <w:r>
        <w:t>[2]</w:t>
      </w:r>
      <w:r>
        <w:fldChar w:fldCharType="end"/>
      </w:r>
      <w:r>
        <w:rPr>
          <w:rFonts w:hint="eastAsia"/>
        </w:rPr>
        <w:t>。由於研究目的聚焦於零售產業於不同物價環境</w:t>
      </w:r>
      <w:r>
        <w:rPr>
          <w:rFonts w:hint="eastAsia"/>
        </w:rPr>
        <w:lastRenderedPageBreak/>
        <w:t>下之營業額變化，因此批發業及餐飲業相關統計資料未被納入分析範圍，以降低不同產業特性造成之分析偏差。</w:t>
      </w:r>
    </w:p>
    <w:p w14:paraId="2115EBA1" w14:textId="77777777" w:rsidR="00457927" w:rsidRDefault="00457927" w:rsidP="00457927">
      <w:pPr>
        <w:pStyle w:val="af0"/>
      </w:pPr>
    </w:p>
    <w:p w14:paraId="60FD3FB3" w14:textId="77777777" w:rsidR="00457927" w:rsidRDefault="00457927" w:rsidP="00457927">
      <w:pPr>
        <w:pStyle w:val="af0"/>
      </w:pPr>
      <w:r>
        <w:rPr>
          <w:rFonts w:hint="eastAsia"/>
        </w:rPr>
        <w:t>資料前處理作業於</w:t>
      </w:r>
      <w:r>
        <w:rPr>
          <w:rFonts w:hint="eastAsia"/>
        </w:rPr>
        <w:t xml:space="preserve"> Power BI </w:t>
      </w:r>
      <w:r>
        <w:rPr>
          <w:rFonts w:hint="eastAsia"/>
        </w:rPr>
        <w:t>之</w:t>
      </w:r>
      <w:r>
        <w:rPr>
          <w:rFonts w:hint="eastAsia"/>
        </w:rPr>
        <w:t xml:space="preserve"> Power Query </w:t>
      </w:r>
      <w:r>
        <w:rPr>
          <w:rFonts w:hint="eastAsia"/>
        </w:rPr>
        <w:t>環境中完成。由於原始政府公開資料之時間格式採用民國紀年方式，因此透過</w:t>
      </w:r>
      <w:r>
        <w:rPr>
          <w:rFonts w:hint="eastAsia"/>
        </w:rPr>
        <w:t xml:space="preserve"> M </w:t>
      </w:r>
      <w:r>
        <w:rPr>
          <w:rFonts w:hint="eastAsia"/>
        </w:rPr>
        <w:t>語言將民國年份轉換為西元年份，並建立標準化日期欄位，使不同資料來源之時間維度得以一致化。</w:t>
      </w:r>
      <w:proofErr w:type="gramStart"/>
      <w:r>
        <w:rPr>
          <w:rFonts w:hint="eastAsia"/>
        </w:rPr>
        <w:t>此外，</w:t>
      </w:r>
      <w:proofErr w:type="gramEnd"/>
      <w:r>
        <w:rPr>
          <w:rFonts w:hint="eastAsia"/>
        </w:rPr>
        <w:t>資料清理流程包含欄位重新命名、資料型態轉換、缺漏資料檢查與格式標準化，以確保後續資料整合與分析之可靠性。</w:t>
      </w:r>
    </w:p>
    <w:p w14:paraId="6E81A96A" w14:textId="77777777" w:rsidR="00457927" w:rsidRDefault="00457927" w:rsidP="00457927">
      <w:pPr>
        <w:pStyle w:val="af0"/>
      </w:pPr>
    </w:p>
    <w:p w14:paraId="7BA396A3" w14:textId="58E37204" w:rsidR="00457927" w:rsidRDefault="00457927" w:rsidP="00457927">
      <w:pPr>
        <w:pStyle w:val="af0"/>
      </w:pPr>
      <w:r>
        <w:rPr>
          <w:rFonts w:hint="eastAsia"/>
        </w:rPr>
        <w:t>完成資料清理後，零售業營業額指數資料與</w:t>
      </w:r>
      <w:r>
        <w:rPr>
          <w:rFonts w:hint="eastAsia"/>
        </w:rPr>
        <w:t xml:space="preserve"> CPI </w:t>
      </w:r>
      <w:r>
        <w:rPr>
          <w:rFonts w:hint="eastAsia"/>
        </w:rPr>
        <w:t>資料被匯入</w:t>
      </w:r>
      <w:r>
        <w:rPr>
          <w:rFonts w:hint="eastAsia"/>
        </w:rPr>
        <w:t xml:space="preserve"> Power BI </w:t>
      </w:r>
      <w:r>
        <w:rPr>
          <w:rFonts w:hint="eastAsia"/>
        </w:rPr>
        <w:t>資料模型。透過一致化之日期格式與統計欄位設計，跨資料來源之時間序列分析得以建立基礎，並提升後續</w:t>
      </w:r>
      <w:r>
        <w:rPr>
          <w:rFonts w:hint="eastAsia"/>
        </w:rPr>
        <w:t xml:space="preserve"> DAX </w:t>
      </w:r>
      <w:r>
        <w:rPr>
          <w:rFonts w:hint="eastAsia"/>
        </w:rPr>
        <w:t>度量值計算與視覺化分析之正確性</w:t>
      </w:r>
      <w:r>
        <w:rPr>
          <w:rFonts w:hint="eastAsia"/>
        </w:rPr>
        <w:t xml:space="preserve"> </w:t>
      </w:r>
      <w:r>
        <w:fldChar w:fldCharType="begin"/>
      </w:r>
      <w:r>
        <w:instrText xml:space="preserve"> </w:instrText>
      </w:r>
      <w:r>
        <w:rPr>
          <w:rFonts w:hint="eastAsia"/>
        </w:rPr>
        <w:instrText>REF _Ref231313536 \r \h</w:instrText>
      </w:r>
      <w:r>
        <w:instrText xml:space="preserve"> </w:instrText>
      </w:r>
      <w:r>
        <w:fldChar w:fldCharType="separate"/>
      </w:r>
      <w:r>
        <w:t>[3]</w:t>
      </w:r>
      <w:r>
        <w:fldChar w:fldCharType="end"/>
      </w:r>
      <w:r>
        <w:rPr>
          <w:rFonts w:hint="eastAsia"/>
        </w:rPr>
        <w:t>。</w:t>
      </w:r>
    </w:p>
    <w:p w14:paraId="311CB538" w14:textId="50ED4609" w:rsidR="001061D6" w:rsidRDefault="00457927" w:rsidP="001061D6">
      <w:pPr>
        <w:pStyle w:val="2"/>
        <w:rPr>
          <w:lang w:eastAsia="zh-TW"/>
        </w:rPr>
      </w:pPr>
      <w:r>
        <w:rPr>
          <w:rFonts w:hint="eastAsia"/>
          <w:lang w:eastAsia="zh-TW"/>
        </w:rPr>
        <w:t>資料</w:t>
      </w:r>
      <w:r w:rsidR="006D1ABE">
        <w:rPr>
          <w:rFonts w:hint="eastAsia"/>
          <w:lang w:eastAsia="zh-TW"/>
        </w:rPr>
        <w:t>關聯</w:t>
      </w:r>
      <w:r>
        <w:rPr>
          <w:rFonts w:hint="eastAsia"/>
          <w:lang w:eastAsia="zh-TW"/>
        </w:rPr>
        <w:t>建構</w:t>
      </w:r>
    </w:p>
    <w:p w14:paraId="3AB8E4DE" w14:textId="43A31D52" w:rsidR="00457927" w:rsidRDefault="00780D40" w:rsidP="00457927">
      <w:pPr>
        <w:pStyle w:val="af0"/>
      </w:pPr>
      <w:r w:rsidRPr="00780D40">
        <w:t>為支援消費者物價指數與零售業營業額指數之跨資料來源分析，本研究於</w:t>
      </w:r>
      <w:r w:rsidRPr="00780D40">
        <w:t xml:space="preserve"> Power BI </w:t>
      </w:r>
      <w:r w:rsidRPr="00780D40">
        <w:t>中建立資料關聯，使不同資料表能夠透過共同欄位進行整合分析。</w:t>
      </w:r>
    </w:p>
    <w:p w14:paraId="579D5D8C" w14:textId="77777777" w:rsidR="00780D40" w:rsidRDefault="00780D40" w:rsidP="00457927">
      <w:pPr>
        <w:pStyle w:val="af0"/>
        <w:rPr>
          <w:rFonts w:hint="eastAsia"/>
        </w:rPr>
      </w:pPr>
    </w:p>
    <w:p w14:paraId="0B99CE29" w14:textId="308E0DA3" w:rsidR="00457927" w:rsidRDefault="00A3739C" w:rsidP="00457927">
      <w:pPr>
        <w:pStyle w:val="af0"/>
      </w:pPr>
      <w:r w:rsidRPr="00A3739C">
        <w:t>本研究利用兩項資料中共同的日期欄位建立關聯，使</w:t>
      </w:r>
      <w:r w:rsidRPr="00A3739C">
        <w:t xml:space="preserve"> CPI </w:t>
      </w:r>
      <w:r w:rsidRPr="00A3739C">
        <w:t>與零售業營業額指數能夠於相同時間尺度下進行比較與分析。</w:t>
      </w:r>
    </w:p>
    <w:p w14:paraId="32282C0D" w14:textId="77777777" w:rsidR="00A3739C" w:rsidRDefault="00A3739C" w:rsidP="00457927">
      <w:pPr>
        <w:pStyle w:val="af0"/>
        <w:rPr>
          <w:rFonts w:hint="eastAsia"/>
        </w:rPr>
      </w:pPr>
    </w:p>
    <w:p w14:paraId="1B2C3E09" w14:textId="408867F5" w:rsidR="00457927" w:rsidRDefault="00A3739C" w:rsidP="00457927">
      <w:pPr>
        <w:pStyle w:val="af0"/>
      </w:pPr>
      <w:proofErr w:type="gramStart"/>
      <w:r w:rsidRPr="00A3739C">
        <w:t>此外，</w:t>
      </w:r>
      <w:proofErr w:type="gramEnd"/>
      <w:r w:rsidRPr="00A3739C">
        <w:t>零售業類別欄位被用於不同零售通路之分類分析，使使用者可透過</w:t>
      </w:r>
      <w:r w:rsidRPr="00A3739C">
        <w:t xml:space="preserve"> Power BI </w:t>
      </w:r>
      <w:r w:rsidRPr="00A3739C">
        <w:t>的篩選功能比較不同零售類型之營業額變化。</w:t>
      </w:r>
    </w:p>
    <w:p w14:paraId="1158EC22" w14:textId="77777777" w:rsidR="00A3739C" w:rsidRDefault="00A3739C" w:rsidP="00457927">
      <w:pPr>
        <w:pStyle w:val="af0"/>
        <w:rPr>
          <w:rFonts w:hint="eastAsia"/>
        </w:rPr>
      </w:pPr>
    </w:p>
    <w:p w14:paraId="429C3704" w14:textId="42301D25" w:rsidR="00D80F43" w:rsidRDefault="00D80F43" w:rsidP="00457927">
      <w:pPr>
        <w:pStyle w:val="af0"/>
        <w:rPr>
          <w:rFonts w:hint="eastAsia"/>
        </w:rPr>
      </w:pPr>
      <w:r w:rsidRPr="00D80F43">
        <w:t>透過資料關聯與互動式切片器設計，</w:t>
      </w:r>
      <w:r w:rsidRPr="00D80F43">
        <w:t xml:space="preserve">Power BI </w:t>
      </w:r>
      <w:r w:rsidRPr="00D80F43">
        <w:t>儀表板中的年份、月份以及零售業類別篩選條件可即時影響</w:t>
      </w:r>
      <w:r w:rsidRPr="00D80F43">
        <w:t xml:space="preserve"> DAX </w:t>
      </w:r>
      <w:r w:rsidRPr="00D80F43">
        <w:t>度量值計算結果，使不同時間區間與零售通路之市場變化得以被動態分析</w:t>
      </w:r>
      <w:r>
        <w:rPr>
          <w:rFonts w:hint="eastAsia"/>
        </w:rPr>
        <w:t xml:space="preserve"> </w:t>
      </w:r>
      <w:r>
        <w:fldChar w:fldCharType="begin"/>
      </w:r>
      <w:r>
        <w:instrText xml:space="preserve"> </w:instrText>
      </w:r>
      <w:r>
        <w:rPr>
          <w:rFonts w:hint="eastAsia"/>
        </w:rPr>
        <w:instrText>REF _Ref231313536 \r \h</w:instrText>
      </w:r>
      <w:r>
        <w:instrText xml:space="preserve"> </w:instrText>
      </w:r>
      <w:r>
        <w:fldChar w:fldCharType="separate"/>
      </w:r>
      <w:r>
        <w:t>[3]</w:t>
      </w:r>
      <w:r>
        <w:fldChar w:fldCharType="end"/>
      </w:r>
      <w:r w:rsidRPr="00D80F43">
        <w:t>。</w:t>
      </w:r>
    </w:p>
    <w:p w14:paraId="61B80773" w14:textId="44752341" w:rsidR="001061D6" w:rsidRDefault="001061D6" w:rsidP="001061D6">
      <w:pPr>
        <w:pStyle w:val="2"/>
        <w:rPr>
          <w:lang w:eastAsia="zh-TW"/>
        </w:rPr>
      </w:pPr>
      <w:r w:rsidRPr="001061D6">
        <w:rPr>
          <w:rFonts w:hint="eastAsia"/>
          <w:lang w:eastAsia="zh-TW"/>
        </w:rPr>
        <w:t xml:space="preserve">DAX </w:t>
      </w:r>
      <w:r w:rsidRPr="001061D6">
        <w:rPr>
          <w:rFonts w:hint="eastAsia"/>
          <w:lang w:eastAsia="zh-TW"/>
        </w:rPr>
        <w:t>關鍵度量值</w:t>
      </w:r>
      <w:r w:rsidR="00457927">
        <w:rPr>
          <w:rFonts w:hint="eastAsia"/>
          <w:lang w:eastAsia="zh-TW"/>
        </w:rPr>
        <w:t>設計</w:t>
      </w:r>
    </w:p>
    <w:p w14:paraId="63EF7EA9" w14:textId="08B57C4E" w:rsidR="00457927" w:rsidRDefault="00457927" w:rsidP="00457927">
      <w:pPr>
        <w:pStyle w:val="af0"/>
      </w:pPr>
      <w:r>
        <w:rPr>
          <w:rFonts w:hint="eastAsia"/>
        </w:rPr>
        <w:t>為量化零售業營業額指數與消費者物價指數之時間變化特徵，本研究利用數據分析表達式（</w:t>
      </w:r>
      <w:r>
        <w:rPr>
          <w:rFonts w:hint="eastAsia"/>
        </w:rPr>
        <w:t>Data Analysis Expressions, DAX</w:t>
      </w:r>
      <w:r>
        <w:rPr>
          <w:rFonts w:hint="eastAsia"/>
        </w:rPr>
        <w:t>）建立零售業年增率、皮爾森相關係數以及實質營業額三項核心分析指標</w:t>
      </w:r>
      <w:r>
        <w:rPr>
          <w:rFonts w:hint="eastAsia"/>
        </w:rPr>
        <w:t xml:space="preserve"> </w:t>
      </w:r>
      <w:r>
        <w:fldChar w:fldCharType="begin"/>
      </w:r>
      <w:r>
        <w:instrText xml:space="preserve"> </w:instrText>
      </w:r>
      <w:r>
        <w:rPr>
          <w:rFonts w:hint="eastAsia"/>
        </w:rPr>
        <w:instrText>REF _Ref231313536 \r \h</w:instrText>
      </w:r>
      <w:r>
        <w:instrText xml:space="preserve"> </w:instrText>
      </w:r>
      <w:r>
        <w:fldChar w:fldCharType="separate"/>
      </w:r>
      <w:r>
        <w:t>[3]</w:t>
      </w:r>
      <w:r>
        <w:fldChar w:fldCharType="end"/>
      </w:r>
      <w:r>
        <w:rPr>
          <w:rFonts w:hint="eastAsia"/>
        </w:rPr>
        <w:t>。</w:t>
      </w:r>
    </w:p>
    <w:p w14:paraId="75DB1433" w14:textId="77777777" w:rsidR="00457927" w:rsidRDefault="00457927" w:rsidP="00457927">
      <w:pPr>
        <w:pStyle w:val="af0"/>
      </w:pPr>
    </w:p>
    <w:p w14:paraId="70A2DD90" w14:textId="313A5FD9" w:rsidR="00457927" w:rsidRDefault="00457927" w:rsidP="00457927">
      <w:pPr>
        <w:pStyle w:val="af0"/>
      </w:pPr>
      <w:r>
        <w:rPr>
          <w:rFonts w:hint="eastAsia"/>
        </w:rPr>
        <w:t>首先，零售業年增率（</w:t>
      </w:r>
      <w:r>
        <w:rPr>
          <w:rFonts w:hint="eastAsia"/>
        </w:rPr>
        <w:t>Year-over-Year, YoY</w:t>
      </w:r>
      <w:r>
        <w:rPr>
          <w:rFonts w:hint="eastAsia"/>
        </w:rPr>
        <w:t>）指標被建立用以比較當期與前一年同期之營業額變化。由於不同月份可能受到節慶、季節性消費模式等因素影響，因此採用同期比較方式以降低季節性波動造成之分析偏差。計算過程透過</w:t>
      </w:r>
      <w:r>
        <w:rPr>
          <w:rFonts w:hint="eastAsia"/>
        </w:rPr>
        <w:t xml:space="preserve"> DAX </w:t>
      </w:r>
      <w:r>
        <w:rPr>
          <w:rFonts w:hint="eastAsia"/>
        </w:rPr>
        <w:t>時間智慧函數取得前一年同期資料，並使用</w:t>
      </w:r>
      <w:r>
        <w:rPr>
          <w:rFonts w:hint="eastAsia"/>
        </w:rPr>
        <w:t xml:space="preserve"> DIVIDE </w:t>
      </w:r>
      <w:r>
        <w:rPr>
          <w:rFonts w:hint="eastAsia"/>
        </w:rPr>
        <w:t>函數處理分母可能為零之情況，以避免計算錯誤並提升度量值穩定性</w:t>
      </w:r>
      <w:r>
        <w:rPr>
          <w:rFonts w:hint="eastAsia"/>
        </w:rPr>
        <w:t xml:space="preserve"> </w:t>
      </w:r>
      <w:r>
        <w:fldChar w:fldCharType="begin"/>
      </w:r>
      <w:r>
        <w:instrText xml:space="preserve"> </w:instrText>
      </w:r>
      <w:r>
        <w:rPr>
          <w:rFonts w:hint="eastAsia"/>
        </w:rPr>
        <w:instrText>REF _Ref231313536 \r \h</w:instrText>
      </w:r>
      <w:r>
        <w:instrText xml:space="preserve"> </w:instrText>
      </w:r>
      <w:r>
        <w:fldChar w:fldCharType="separate"/>
      </w:r>
      <w:r>
        <w:t>[3]</w:t>
      </w:r>
      <w:r>
        <w:fldChar w:fldCharType="end"/>
      </w:r>
      <w:r>
        <w:rPr>
          <w:rFonts w:hint="eastAsia"/>
        </w:rPr>
        <w:t>。</w:t>
      </w:r>
    </w:p>
    <w:p w14:paraId="331AD307" w14:textId="77777777" w:rsidR="00457927" w:rsidRDefault="00457927" w:rsidP="00457927">
      <w:pPr>
        <w:pStyle w:val="af0"/>
      </w:pPr>
    </w:p>
    <w:p w14:paraId="271E74CF" w14:textId="033319F1" w:rsidR="00457927" w:rsidRDefault="00457927" w:rsidP="00457927">
      <w:pPr>
        <w:pStyle w:val="af0"/>
      </w:pPr>
      <w:r>
        <w:rPr>
          <w:rFonts w:hint="eastAsia"/>
        </w:rPr>
        <w:t>其次，皮爾</w:t>
      </w:r>
      <w:proofErr w:type="gramStart"/>
      <w:r>
        <w:rPr>
          <w:rFonts w:hint="eastAsia"/>
        </w:rPr>
        <w:t>森積差</w:t>
      </w:r>
      <w:proofErr w:type="gramEnd"/>
      <w:r>
        <w:rPr>
          <w:rFonts w:hint="eastAsia"/>
        </w:rPr>
        <w:t>相關係數（</w:t>
      </w:r>
      <w:r w:rsidRPr="00457927">
        <w:t>Pearson product-moment correlation coefficient</w:t>
      </w:r>
      <w:r>
        <w:rPr>
          <w:rFonts w:hint="eastAsia"/>
        </w:rPr>
        <w:t>, PPMCC</w:t>
      </w:r>
      <w:r>
        <w:rPr>
          <w:rFonts w:hint="eastAsia"/>
        </w:rPr>
        <w:t>）被用於衡量零售業營業額指數與</w:t>
      </w:r>
      <w:r>
        <w:rPr>
          <w:rFonts w:hint="eastAsia"/>
        </w:rPr>
        <w:t xml:space="preserve"> CPI </w:t>
      </w:r>
      <w:r>
        <w:rPr>
          <w:rFonts w:hint="eastAsia"/>
        </w:rPr>
        <w:t>之線性關聯程度</w:t>
      </w:r>
      <w:r>
        <w:rPr>
          <w:rFonts w:hint="eastAsia"/>
        </w:rPr>
        <w:t xml:space="preserve"> </w:t>
      </w:r>
      <w:r>
        <w:fldChar w:fldCharType="begin"/>
      </w:r>
      <w:r>
        <w:instrText xml:space="preserve"> </w:instrText>
      </w:r>
      <w:r>
        <w:rPr>
          <w:rFonts w:hint="eastAsia"/>
        </w:rPr>
        <w:instrText>REF _Ref231313660 \r \h</w:instrText>
      </w:r>
      <w:r>
        <w:instrText xml:space="preserve"> </w:instrText>
      </w:r>
      <w:r>
        <w:fldChar w:fldCharType="separate"/>
      </w:r>
      <w:r>
        <w:t>[</w:t>
      </w:r>
      <w:r w:rsidR="0015449F">
        <w:rPr>
          <w:rFonts w:hint="eastAsia"/>
        </w:rPr>
        <w:t>5</w:t>
      </w:r>
      <w:r>
        <w:t>]</w:t>
      </w:r>
      <w:r>
        <w:fldChar w:fldCharType="end"/>
      </w:r>
      <w:r>
        <w:rPr>
          <w:rFonts w:hint="eastAsia"/>
        </w:rPr>
        <w:t>。該指標會依據儀表板中所選擇之年份、月份及零售類別條件進行動態重新計算，使不同時間區間與產業類別之相關特徵得以比較。然而，相關</w:t>
      </w:r>
      <w:r>
        <w:rPr>
          <w:rFonts w:hint="eastAsia"/>
        </w:rPr>
        <w:t>係數僅能反映兩項變數間之統計相關性，無法直接作為因果關係之證明。</w:t>
      </w:r>
    </w:p>
    <w:p w14:paraId="5673E4B1" w14:textId="77777777" w:rsidR="00457927" w:rsidRDefault="00457927" w:rsidP="00457927">
      <w:pPr>
        <w:pStyle w:val="af0"/>
      </w:pPr>
    </w:p>
    <w:p w14:paraId="243C0D70" w14:textId="46533070" w:rsidR="00457927" w:rsidRPr="001061D6" w:rsidRDefault="00457927" w:rsidP="00457927">
      <w:pPr>
        <w:pStyle w:val="af0"/>
      </w:pPr>
      <w:r>
        <w:rPr>
          <w:rFonts w:hint="eastAsia"/>
        </w:rPr>
        <w:t>最後，為降低價格水準變化對營業額判讀之影響，本研究利用</w:t>
      </w:r>
      <w:r>
        <w:rPr>
          <w:rFonts w:hint="eastAsia"/>
        </w:rPr>
        <w:t xml:space="preserve"> CPI </w:t>
      </w:r>
      <w:r>
        <w:rPr>
          <w:rFonts w:hint="eastAsia"/>
        </w:rPr>
        <w:t>建立實質營業額修正指標</w:t>
      </w:r>
      <w:r>
        <w:rPr>
          <w:rFonts w:hint="eastAsia"/>
        </w:rPr>
        <w:t xml:space="preserve"> </w:t>
      </w:r>
      <w:r>
        <w:fldChar w:fldCharType="begin"/>
      </w:r>
      <w:r>
        <w:instrText xml:space="preserve"> </w:instrText>
      </w:r>
      <w:r>
        <w:rPr>
          <w:rFonts w:hint="eastAsia"/>
        </w:rPr>
        <w:instrText>REF _Ref231313508 \r \h</w:instrText>
      </w:r>
      <w:r>
        <w:instrText xml:space="preserve"> </w:instrText>
      </w:r>
      <w:r>
        <w:fldChar w:fldCharType="separate"/>
      </w:r>
      <w:r>
        <w:t>[2]</w:t>
      </w:r>
      <w:r>
        <w:fldChar w:fldCharType="end"/>
      </w:r>
      <w:r>
        <w:rPr>
          <w:rFonts w:hint="eastAsia"/>
        </w:rPr>
        <w:t>。其計算方式係將名目營業額指數依據同期</w:t>
      </w:r>
      <w:r>
        <w:rPr>
          <w:rFonts w:hint="eastAsia"/>
        </w:rPr>
        <w:t xml:space="preserve"> CPI </w:t>
      </w:r>
      <w:r>
        <w:rPr>
          <w:rFonts w:hint="eastAsia"/>
        </w:rPr>
        <w:t>進行價格調整，使價格因素與營業額變動得以區隔。透過名目與實質營業額之比較，可進一步分析價格變動對零售市場評估所造成之影響。</w:t>
      </w:r>
    </w:p>
    <w:p w14:paraId="3BA7C145" w14:textId="153315C7" w:rsidR="001061D6" w:rsidRDefault="00457927" w:rsidP="001061D6">
      <w:pPr>
        <w:pStyle w:val="2"/>
        <w:rPr>
          <w:lang w:eastAsia="zh-TW"/>
        </w:rPr>
      </w:pPr>
      <w:r>
        <w:rPr>
          <w:rFonts w:hint="eastAsia"/>
          <w:lang w:eastAsia="zh-TW"/>
        </w:rPr>
        <w:t>互動式</w:t>
      </w:r>
      <w:r w:rsidR="001061D6" w:rsidRPr="001061D6">
        <w:rPr>
          <w:rFonts w:hint="eastAsia"/>
          <w:lang w:eastAsia="zh-TW"/>
        </w:rPr>
        <w:t>視覺化</w:t>
      </w:r>
      <w:proofErr w:type="gramStart"/>
      <w:r w:rsidR="001061D6" w:rsidRPr="001061D6">
        <w:rPr>
          <w:rFonts w:hint="eastAsia"/>
          <w:lang w:eastAsia="zh-TW"/>
        </w:rPr>
        <w:t>儀表板構建</w:t>
      </w:r>
      <w:proofErr w:type="gramEnd"/>
    </w:p>
    <w:p w14:paraId="47F5CE88" w14:textId="7B9A3F5C" w:rsidR="00457927" w:rsidRDefault="00457927" w:rsidP="00457927">
      <w:pPr>
        <w:pStyle w:val="af0"/>
      </w:pPr>
      <w:r>
        <w:rPr>
          <w:rFonts w:hint="eastAsia"/>
        </w:rPr>
        <w:t>為提升長期時間序列資料之分析效率，</w:t>
      </w:r>
      <w:r w:rsidR="00F64139" w:rsidRPr="00F64139">
        <w:t>互動式商業智慧</w:t>
      </w:r>
      <w:proofErr w:type="gramStart"/>
      <w:r w:rsidR="00F64139" w:rsidRPr="00F64139">
        <w:t>儀表板係透過</w:t>
      </w:r>
      <w:proofErr w:type="gramEnd"/>
      <w:r w:rsidR="00F64139" w:rsidRPr="00F64139">
        <w:t xml:space="preserve"> Power BI </w:t>
      </w:r>
      <w:r w:rsidR="00F64139" w:rsidRPr="00F64139">
        <w:t>平台進行建構</w:t>
      </w:r>
      <w:r>
        <w:rPr>
          <w:rFonts w:hint="eastAsia"/>
        </w:rPr>
        <w:t xml:space="preserve"> </w:t>
      </w:r>
      <w:r>
        <w:fldChar w:fldCharType="begin"/>
      </w:r>
      <w:r>
        <w:instrText xml:space="preserve"> </w:instrText>
      </w:r>
      <w:r>
        <w:rPr>
          <w:rFonts w:hint="eastAsia"/>
        </w:rPr>
        <w:instrText>REF _Ref231313536 \r \h</w:instrText>
      </w:r>
      <w:r>
        <w:instrText xml:space="preserve"> </w:instrText>
      </w:r>
      <w:r>
        <w:fldChar w:fldCharType="separate"/>
      </w:r>
      <w:r>
        <w:t>[3]</w:t>
      </w:r>
      <w:r>
        <w:fldChar w:fldCharType="end"/>
      </w:r>
      <w:r>
        <w:fldChar w:fldCharType="begin"/>
      </w:r>
      <w:r>
        <w:instrText xml:space="preserve"> REF _Ref231313523 \r \h </w:instrText>
      </w:r>
      <w:r>
        <w:fldChar w:fldCharType="separate"/>
      </w:r>
      <w:r>
        <w:t>[</w:t>
      </w:r>
      <w:r w:rsidR="0015449F">
        <w:rPr>
          <w:rFonts w:hint="eastAsia"/>
        </w:rPr>
        <w:t>6</w:t>
      </w:r>
      <w:r>
        <w:t>]</w:t>
      </w:r>
      <w:r>
        <w:fldChar w:fldCharType="end"/>
      </w:r>
      <w:r>
        <w:rPr>
          <w:rFonts w:hint="eastAsia"/>
        </w:rPr>
        <w:t>。儀表板整合零售業營業額指數、</w:t>
      </w:r>
      <w:r>
        <w:rPr>
          <w:rFonts w:hint="eastAsia"/>
        </w:rPr>
        <w:t xml:space="preserve">CPI </w:t>
      </w:r>
      <w:r>
        <w:rPr>
          <w:rFonts w:hint="eastAsia"/>
        </w:rPr>
        <w:t>指數、年增率、相關係數與實質營業額等多項分析指標，以提供不同分析角度之資料觀察方式。</w:t>
      </w:r>
    </w:p>
    <w:p w14:paraId="3C0109C1" w14:textId="77777777" w:rsidR="00457927" w:rsidRDefault="00457927" w:rsidP="00457927">
      <w:pPr>
        <w:pStyle w:val="af0"/>
      </w:pPr>
    </w:p>
    <w:p w14:paraId="0EDFFC7F" w14:textId="77777777" w:rsidR="00457927" w:rsidRDefault="00457927" w:rsidP="00457927">
      <w:pPr>
        <w:pStyle w:val="af0"/>
      </w:pPr>
      <w:r>
        <w:rPr>
          <w:rFonts w:hint="eastAsia"/>
        </w:rPr>
        <w:t>主要視覺化元件包含雙軸折線圖、統計指標卡、資料矩陣與散佈圖。雙軸折線圖被用於呈現零售業營業額指數與</w:t>
      </w:r>
      <w:r>
        <w:rPr>
          <w:rFonts w:hint="eastAsia"/>
        </w:rPr>
        <w:t xml:space="preserve"> CPI </w:t>
      </w:r>
      <w:r>
        <w:rPr>
          <w:rFonts w:hint="eastAsia"/>
        </w:rPr>
        <w:t>於長期時間範圍內之變化趨勢；散佈圖則被用於觀察兩項指標之線性分布情形；統計指標卡則用於呈現關鍵計算結果，以提升資料判讀效率。</w:t>
      </w:r>
    </w:p>
    <w:p w14:paraId="41E63D46" w14:textId="77777777" w:rsidR="00457927" w:rsidRDefault="00457927" w:rsidP="00457927">
      <w:pPr>
        <w:pStyle w:val="af0"/>
      </w:pPr>
    </w:p>
    <w:p w14:paraId="38C9758E" w14:textId="77777777" w:rsidR="00457927" w:rsidRDefault="00457927" w:rsidP="00457927">
      <w:pPr>
        <w:pStyle w:val="af0"/>
      </w:pPr>
      <w:proofErr w:type="gramStart"/>
      <w:r>
        <w:rPr>
          <w:rFonts w:hint="eastAsia"/>
        </w:rPr>
        <w:t>此外，</w:t>
      </w:r>
      <w:proofErr w:type="gramEnd"/>
      <w:r>
        <w:rPr>
          <w:rFonts w:hint="eastAsia"/>
        </w:rPr>
        <w:t>儀表板中配置年份篩選器、月份篩選器以及零售業類別切片器，使不同時間區間與零售通路之資料能夠被動態篩選。當篩選條件發生變化時，各視覺化元件將依據相同篩選上下文重新計算與更新，進而提供一致之多維度分析結果。</w:t>
      </w:r>
    </w:p>
    <w:p w14:paraId="23AF9B3C" w14:textId="77777777" w:rsidR="00457927" w:rsidRDefault="00457927" w:rsidP="00457927">
      <w:pPr>
        <w:pStyle w:val="af0"/>
      </w:pPr>
    </w:p>
    <w:p w14:paraId="2087929C" w14:textId="56081B56" w:rsidR="00386BDC" w:rsidRDefault="00386BDC" w:rsidP="00457927">
      <w:pPr>
        <w:pStyle w:val="af0"/>
        <w:rPr>
          <w:rFonts w:hint="eastAsia"/>
        </w:rPr>
      </w:pPr>
      <w:r w:rsidRPr="00386BDC">
        <w:t>透過資料前處理、資料關聯建立、</w:t>
      </w:r>
      <w:r w:rsidRPr="00386BDC">
        <w:t xml:space="preserve">DAX </w:t>
      </w:r>
      <w:r w:rsidRPr="00386BDC">
        <w:t>度量值設計以及互動式視覺化架構之整合，零售業營業額指數與</w:t>
      </w:r>
      <w:r w:rsidRPr="00386BDC">
        <w:t xml:space="preserve"> CPI </w:t>
      </w:r>
      <w:r w:rsidRPr="00386BDC">
        <w:t>之長期時序關聯分析得以系統化完成</w:t>
      </w:r>
      <w:r>
        <w:rPr>
          <w:rFonts w:hint="eastAsia"/>
        </w:rPr>
        <w:t xml:space="preserve"> </w:t>
      </w:r>
      <w:r>
        <w:fldChar w:fldCharType="begin"/>
      </w:r>
      <w:r>
        <w:instrText xml:space="preserve"> </w:instrText>
      </w:r>
      <w:r>
        <w:rPr>
          <w:rFonts w:hint="eastAsia"/>
        </w:rPr>
        <w:instrText>REF _Ref231313536 \r \h</w:instrText>
      </w:r>
      <w:r>
        <w:instrText xml:space="preserve"> </w:instrText>
      </w:r>
      <w:r>
        <w:fldChar w:fldCharType="separate"/>
      </w:r>
      <w:r>
        <w:t>[3]</w:t>
      </w:r>
      <w:r>
        <w:fldChar w:fldCharType="end"/>
      </w:r>
      <w:r>
        <w:fldChar w:fldCharType="begin"/>
      </w:r>
      <w:r>
        <w:instrText xml:space="preserve"> REF _Ref231313487 \r \h </w:instrText>
      </w:r>
      <w:r>
        <w:fldChar w:fldCharType="separate"/>
      </w:r>
      <w:r>
        <w:t>[</w:t>
      </w:r>
      <w:r w:rsidR="00AB0D5B">
        <w:rPr>
          <w:rFonts w:hint="eastAsia"/>
        </w:rPr>
        <w:t>4</w:t>
      </w:r>
      <w:r>
        <w:t>]</w:t>
      </w:r>
      <w:r>
        <w:fldChar w:fldCharType="end"/>
      </w:r>
      <w:r w:rsidRPr="00386BDC">
        <w:t>。</w:t>
      </w:r>
    </w:p>
    <w:p w14:paraId="0D711E50" w14:textId="1391ED43" w:rsidR="001A4CE7" w:rsidRPr="001A4CE7" w:rsidRDefault="001E78FB" w:rsidP="001A4CE7">
      <w:pPr>
        <w:pStyle w:val="1"/>
        <w:rPr>
          <w:lang w:eastAsia="zh-TW"/>
        </w:rPr>
      </w:pPr>
      <w:r>
        <w:rPr>
          <w:rFonts w:hint="eastAsia"/>
          <w:lang w:eastAsia="zh-TW"/>
        </w:rPr>
        <w:t>實驗與呈現</w:t>
      </w:r>
    </w:p>
    <w:p w14:paraId="47A48E12" w14:textId="65655B3F" w:rsidR="001A4CE7" w:rsidRDefault="00457927" w:rsidP="001A4CE7">
      <w:pPr>
        <w:pStyle w:val="2"/>
        <w:rPr>
          <w:lang w:eastAsia="zh-TW"/>
        </w:rPr>
      </w:pPr>
      <w:r w:rsidRPr="00457927">
        <w:rPr>
          <w:lang w:eastAsia="zh-TW"/>
        </w:rPr>
        <w:t>台灣零售業營業額指數與</w:t>
      </w:r>
      <w:r w:rsidRPr="00457927">
        <w:rPr>
          <w:lang w:eastAsia="zh-TW"/>
        </w:rPr>
        <w:t xml:space="preserve"> CPI </w:t>
      </w:r>
      <w:r w:rsidRPr="00457927">
        <w:rPr>
          <w:lang w:eastAsia="zh-TW"/>
        </w:rPr>
        <w:t>之長期趨勢分析</w:t>
      </w:r>
    </w:p>
    <w:p w14:paraId="0EEB2C6C" w14:textId="55D3C398" w:rsidR="001A4CE7" w:rsidRDefault="00457927" w:rsidP="001A4CE7">
      <w:pPr>
        <w:pStyle w:val="af0"/>
      </w:pPr>
      <w:r w:rsidRPr="00457927">
        <w:t>為探討台灣零售市場與物價水準之長期變化，本研究利用</w:t>
      </w:r>
      <w:r w:rsidRPr="00457927">
        <w:t xml:space="preserve"> 1999 </w:t>
      </w:r>
      <w:r w:rsidRPr="00457927">
        <w:t>年至</w:t>
      </w:r>
      <w:r w:rsidRPr="00457927">
        <w:t xml:space="preserve"> 2026 </w:t>
      </w:r>
      <w:r w:rsidRPr="00457927">
        <w:t>年之零售業營業額指數與消費者物價指數進行時序比較，相關資料來源分別來自經濟部統計處與行政院主計總處</w:t>
      </w:r>
      <w:r w:rsidRPr="00457927">
        <w:t xml:space="preserve"> </w:t>
      </w:r>
      <w:r>
        <w:fldChar w:fldCharType="begin"/>
      </w:r>
      <w:r>
        <w:instrText xml:space="preserve"> REF _Ref231313450 \r \h </w:instrText>
      </w:r>
      <w:r>
        <w:fldChar w:fldCharType="separate"/>
      </w:r>
      <w:r>
        <w:t>[1]</w:t>
      </w:r>
      <w:r>
        <w:fldChar w:fldCharType="end"/>
      </w:r>
      <w:r>
        <w:fldChar w:fldCharType="begin"/>
      </w:r>
      <w:r>
        <w:instrText xml:space="preserve"> REF _Ref231313508 \r \h </w:instrText>
      </w:r>
      <w:r>
        <w:fldChar w:fldCharType="separate"/>
      </w:r>
      <w:r>
        <w:t>[2]</w:t>
      </w:r>
      <w:r>
        <w:fldChar w:fldCharType="end"/>
      </w:r>
      <w:r w:rsidRPr="00457927">
        <w:t>。分析結果如圖一所示。</w:t>
      </w:r>
    </w:p>
    <w:tbl>
      <w:tblPr>
        <w:tblW w:w="0" w:type="auto"/>
        <w:tblInd w:w="80" w:type="dxa"/>
        <w:tblLook w:val="04A0" w:firstRow="1" w:lastRow="0" w:firstColumn="1" w:lastColumn="0" w:noHBand="0" w:noVBand="1"/>
      </w:tblPr>
      <w:tblGrid>
        <w:gridCol w:w="4960"/>
      </w:tblGrid>
      <w:tr w:rsidR="001A4CE7" w14:paraId="690E9561" w14:textId="77777777" w:rsidTr="002E5D01">
        <w:trPr>
          <w:trHeight w:val="2868"/>
        </w:trPr>
        <w:tc>
          <w:tcPr>
            <w:tcW w:w="5060" w:type="dxa"/>
          </w:tcPr>
          <w:p w14:paraId="6F13E394" w14:textId="086E9D84" w:rsidR="001A4CE7" w:rsidRDefault="00650773" w:rsidP="001A4CE7">
            <w:pPr>
              <w:rPr>
                <w:lang w:eastAsia="zh-TW"/>
              </w:rPr>
            </w:pPr>
            <w:r w:rsidRPr="00940F3F">
              <w:rPr>
                <w:noProof/>
                <w:lang w:eastAsia="zh-TW"/>
              </w:rPr>
              <w:drawing>
                <wp:inline distT="0" distB="0" distL="0" distR="0" wp14:anchorId="7D767FC6" wp14:editId="3273447B">
                  <wp:extent cx="3202940" cy="178625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2940" cy="1786255"/>
                          </a:xfrm>
                          <a:prstGeom prst="rect">
                            <a:avLst/>
                          </a:prstGeom>
                          <a:noFill/>
                          <a:ln>
                            <a:noFill/>
                          </a:ln>
                        </pic:spPr>
                      </pic:pic>
                    </a:graphicData>
                  </a:graphic>
                </wp:inline>
              </w:drawing>
            </w:r>
          </w:p>
        </w:tc>
      </w:tr>
      <w:tr w:rsidR="001A4CE7" w14:paraId="75F40234" w14:textId="77777777" w:rsidTr="002E5D01">
        <w:trPr>
          <w:trHeight w:val="534"/>
        </w:trPr>
        <w:tc>
          <w:tcPr>
            <w:tcW w:w="5060" w:type="dxa"/>
          </w:tcPr>
          <w:p w14:paraId="6F85AABD" w14:textId="77777777" w:rsidR="001A4CE7" w:rsidRDefault="001A4CE7" w:rsidP="001A4CE7">
            <w:pPr>
              <w:rPr>
                <w:lang w:eastAsia="zh-TW"/>
              </w:rPr>
            </w:pPr>
            <w:r>
              <w:rPr>
                <w:rFonts w:hint="eastAsia"/>
                <w:lang w:eastAsia="zh-TW"/>
              </w:rPr>
              <w:t>圖一、</w:t>
            </w:r>
            <w:r w:rsidRPr="001A4CE7">
              <w:rPr>
                <w:lang w:eastAsia="zh-TW"/>
              </w:rPr>
              <w:t>台灣零售業營收與通膨物價之歷史走勢與核心指標圖</w:t>
            </w:r>
          </w:p>
        </w:tc>
      </w:tr>
    </w:tbl>
    <w:p w14:paraId="2D05744F" w14:textId="77777777" w:rsidR="001A4CE7" w:rsidRPr="001A4CE7" w:rsidRDefault="001A4CE7" w:rsidP="001A4CE7">
      <w:pPr>
        <w:rPr>
          <w:lang w:eastAsia="zh-TW"/>
        </w:rPr>
      </w:pPr>
    </w:p>
    <w:p w14:paraId="4E7F3B75" w14:textId="77777777" w:rsidR="00A84988" w:rsidRDefault="00A84988" w:rsidP="00A84988">
      <w:pPr>
        <w:pStyle w:val="af0"/>
      </w:pPr>
      <w:r>
        <w:rPr>
          <w:rFonts w:hint="eastAsia"/>
        </w:rPr>
        <w:lastRenderedPageBreak/>
        <w:t>圖一呈現零售業營業額指數與</w:t>
      </w:r>
      <w:r>
        <w:rPr>
          <w:rFonts w:hint="eastAsia"/>
        </w:rPr>
        <w:t xml:space="preserve"> CPI </w:t>
      </w:r>
      <w:r>
        <w:rPr>
          <w:rFonts w:hint="eastAsia"/>
        </w:rPr>
        <w:t>於長期時間範圍內之變動趨勢。由圖中可觀察到，兩項指標於研究期間皆呈現整體上升趨勢，其中零售業營業額指數之平均值為</w:t>
      </w:r>
      <w:r>
        <w:rPr>
          <w:rFonts w:hint="eastAsia"/>
        </w:rPr>
        <w:t xml:space="preserve"> 102.78</w:t>
      </w:r>
      <w:r>
        <w:rPr>
          <w:rFonts w:hint="eastAsia"/>
        </w:rPr>
        <w:t>，而</w:t>
      </w:r>
      <w:r>
        <w:rPr>
          <w:rFonts w:hint="eastAsia"/>
        </w:rPr>
        <w:t xml:space="preserve"> CPI </w:t>
      </w:r>
      <w:r>
        <w:rPr>
          <w:rFonts w:hint="eastAsia"/>
        </w:rPr>
        <w:t>指數則達</w:t>
      </w:r>
      <w:r>
        <w:rPr>
          <w:rFonts w:hint="eastAsia"/>
        </w:rPr>
        <w:t xml:space="preserve"> 110.36</w:t>
      </w:r>
      <w:r>
        <w:rPr>
          <w:rFonts w:hint="eastAsia"/>
        </w:rPr>
        <w:t>。</w:t>
      </w:r>
    </w:p>
    <w:p w14:paraId="0218E08F" w14:textId="77777777" w:rsidR="00A84988" w:rsidRDefault="00A84988" w:rsidP="00A84988">
      <w:pPr>
        <w:pStyle w:val="af0"/>
      </w:pPr>
    </w:p>
    <w:p w14:paraId="09BAFD15" w14:textId="1DFED0BF" w:rsidR="005324A8" w:rsidRDefault="00A84988" w:rsidP="00A84988">
      <w:pPr>
        <w:pStyle w:val="af0"/>
      </w:pPr>
      <w:r>
        <w:rPr>
          <w:rFonts w:hint="eastAsia"/>
        </w:rPr>
        <w:t>進一步利用皮爾</w:t>
      </w:r>
      <w:proofErr w:type="gramStart"/>
      <w:r>
        <w:rPr>
          <w:rFonts w:hint="eastAsia"/>
        </w:rPr>
        <w:t>森積差</w:t>
      </w:r>
      <w:proofErr w:type="gramEnd"/>
      <w:r>
        <w:rPr>
          <w:rFonts w:hint="eastAsia"/>
        </w:rPr>
        <w:t>相關係數分析兩項變數之線性關係，其相關係數為</w:t>
      </w:r>
      <w:r>
        <w:rPr>
          <w:rFonts w:hint="eastAsia"/>
        </w:rPr>
        <w:t xml:space="preserve"> 0.77 </w:t>
      </w:r>
      <w:r>
        <w:fldChar w:fldCharType="begin"/>
      </w:r>
      <w:r>
        <w:instrText xml:space="preserve"> </w:instrText>
      </w:r>
      <w:r>
        <w:rPr>
          <w:rFonts w:hint="eastAsia"/>
        </w:rPr>
        <w:instrText>REF _Ref231313660 \r \h</w:instrText>
      </w:r>
      <w:r>
        <w:instrText xml:space="preserve"> </w:instrText>
      </w:r>
      <w:r>
        <w:fldChar w:fldCharType="separate"/>
      </w:r>
      <w:r>
        <w:t>[</w:t>
      </w:r>
      <w:r w:rsidR="0015449F">
        <w:rPr>
          <w:rFonts w:hint="eastAsia"/>
        </w:rPr>
        <w:t>5</w:t>
      </w:r>
      <w:r>
        <w:t>]</w:t>
      </w:r>
      <w:r>
        <w:fldChar w:fldCharType="end"/>
      </w:r>
      <w:r>
        <w:rPr>
          <w:rFonts w:hint="eastAsia"/>
        </w:rPr>
        <w:t>，代表兩者於長期觀察期間具有高度正相關。此結果表示零售市場營業額變化與物價水準變化存在明顯同步趨勢。然而，相關分析僅能反映兩項變數間之統計關聯性，無法直接推論物價上升為營業額成長之唯一原因，其他因素如所得變化、消費習慣轉變與產業結構調整亦可能造成影響。</w:t>
      </w:r>
    </w:p>
    <w:p w14:paraId="658BD18A" w14:textId="313E69FA" w:rsidR="001A4CE7" w:rsidRDefault="00A84988" w:rsidP="001A4CE7">
      <w:pPr>
        <w:pStyle w:val="2"/>
        <w:rPr>
          <w:lang w:eastAsia="zh-TW"/>
        </w:rPr>
      </w:pPr>
      <w:r w:rsidRPr="00A84988">
        <w:rPr>
          <w:lang w:eastAsia="zh-TW"/>
        </w:rPr>
        <w:t>不同時間區間之相關性變化分析</w:t>
      </w:r>
    </w:p>
    <w:p w14:paraId="3FF27CD7" w14:textId="0DB362DF" w:rsidR="001A4CE7" w:rsidRDefault="00A84988" w:rsidP="001A4CE7">
      <w:pPr>
        <w:pStyle w:val="af0"/>
      </w:pPr>
      <w:r w:rsidRPr="00A84988">
        <w:t>為進一步分析不同年度中零售業營業額指數與</w:t>
      </w:r>
      <w:r w:rsidRPr="00A84988">
        <w:t xml:space="preserve"> CPI </w:t>
      </w:r>
      <w:r w:rsidRPr="00A84988">
        <w:t>之關聯變化，本研究依年度進行皮爾森相關係數計算，並透過散佈圖與年度相關係數統計結果進行比較，如圖二所示。</w:t>
      </w:r>
    </w:p>
    <w:p w14:paraId="25F03DC5" w14:textId="77777777" w:rsidR="00A84988" w:rsidRDefault="00A84988" w:rsidP="001A4CE7">
      <w:pPr>
        <w:pStyle w:val="af0"/>
      </w:pPr>
    </w:p>
    <w:tbl>
      <w:tblPr>
        <w:tblW w:w="5260" w:type="dxa"/>
        <w:tblInd w:w="80" w:type="dxa"/>
        <w:tblLook w:val="04A0" w:firstRow="1" w:lastRow="0" w:firstColumn="1" w:lastColumn="0" w:noHBand="0" w:noVBand="1"/>
      </w:tblPr>
      <w:tblGrid>
        <w:gridCol w:w="5260"/>
      </w:tblGrid>
      <w:tr w:rsidR="007B4627" w14:paraId="6936A7E5" w14:textId="77777777" w:rsidTr="002E5D01">
        <w:tc>
          <w:tcPr>
            <w:tcW w:w="5260" w:type="dxa"/>
          </w:tcPr>
          <w:p w14:paraId="54AC188C" w14:textId="649A7FF9" w:rsidR="007B4627" w:rsidRDefault="00650773" w:rsidP="000E5746">
            <w:pPr>
              <w:pStyle w:val="af0"/>
              <w:ind w:firstLineChars="0" w:firstLine="0"/>
            </w:pPr>
            <w:r w:rsidRPr="00940F3F">
              <w:rPr>
                <w:noProof/>
              </w:rPr>
              <w:drawing>
                <wp:inline distT="0" distB="0" distL="0" distR="0" wp14:anchorId="4610D354" wp14:editId="70561BBE">
                  <wp:extent cx="3202940" cy="1797050"/>
                  <wp:effectExtent l="0" t="0" r="0" b="0"/>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2940" cy="1797050"/>
                          </a:xfrm>
                          <a:prstGeom prst="rect">
                            <a:avLst/>
                          </a:prstGeom>
                          <a:noFill/>
                          <a:ln>
                            <a:noFill/>
                          </a:ln>
                        </pic:spPr>
                      </pic:pic>
                    </a:graphicData>
                  </a:graphic>
                </wp:inline>
              </w:drawing>
            </w:r>
          </w:p>
        </w:tc>
      </w:tr>
      <w:tr w:rsidR="007B4627" w14:paraId="0DEE52BB" w14:textId="77777777" w:rsidTr="002E5D01">
        <w:tc>
          <w:tcPr>
            <w:tcW w:w="5260" w:type="dxa"/>
          </w:tcPr>
          <w:p w14:paraId="70D3F1C0" w14:textId="77777777" w:rsidR="007B4627" w:rsidRDefault="007B4627" w:rsidP="000E5746">
            <w:pPr>
              <w:pStyle w:val="af0"/>
              <w:ind w:firstLineChars="0" w:firstLine="0"/>
            </w:pPr>
            <w:r>
              <w:rPr>
                <w:rFonts w:hint="eastAsia"/>
              </w:rPr>
              <w:t>圖二、</w:t>
            </w:r>
            <w:r w:rsidRPr="007B4627">
              <w:t>消費者物價指數與零售營業額之歷年相關性散佈與走勢矩陣圖</w:t>
            </w:r>
          </w:p>
        </w:tc>
      </w:tr>
    </w:tbl>
    <w:p w14:paraId="4EC1BE91" w14:textId="77777777" w:rsidR="00A84988" w:rsidRDefault="00A84988" w:rsidP="00A84988">
      <w:pPr>
        <w:pStyle w:val="af0"/>
      </w:pPr>
    </w:p>
    <w:p w14:paraId="3EFF7BB3" w14:textId="05E574E2" w:rsidR="00A84988" w:rsidRDefault="00A84988" w:rsidP="00A84988">
      <w:pPr>
        <w:pStyle w:val="af0"/>
      </w:pPr>
      <w:r>
        <w:rPr>
          <w:rFonts w:hint="eastAsia"/>
        </w:rPr>
        <w:t>分析結果顯示，不同年份之相關程度存在一定差異。</w:t>
      </w:r>
      <w:r>
        <w:rPr>
          <w:rFonts w:hint="eastAsia"/>
        </w:rPr>
        <w:t xml:space="preserve">2020 </w:t>
      </w:r>
      <w:r>
        <w:rPr>
          <w:rFonts w:hint="eastAsia"/>
        </w:rPr>
        <w:t>年相關係數約為</w:t>
      </w:r>
      <w:r>
        <w:rPr>
          <w:rFonts w:hint="eastAsia"/>
        </w:rPr>
        <w:t xml:space="preserve"> 0.77</w:t>
      </w:r>
      <w:r>
        <w:rPr>
          <w:rFonts w:hint="eastAsia"/>
        </w:rPr>
        <w:t>，表示該年度中兩項指標具有較高之線性關聯性。此現象可能與</w:t>
      </w:r>
      <w:proofErr w:type="gramStart"/>
      <w:r>
        <w:rPr>
          <w:rFonts w:hint="eastAsia"/>
        </w:rPr>
        <w:t>疫</w:t>
      </w:r>
      <w:proofErr w:type="gramEnd"/>
      <w:r>
        <w:rPr>
          <w:rFonts w:hint="eastAsia"/>
        </w:rPr>
        <w:t>情期間消費模式變化、供應鏈波動以及物價變動等外部經濟因素有關。</w:t>
      </w:r>
    </w:p>
    <w:p w14:paraId="6A394935" w14:textId="77777777" w:rsidR="00A84988" w:rsidRDefault="00A84988" w:rsidP="00A84988">
      <w:pPr>
        <w:pStyle w:val="af0"/>
      </w:pPr>
    </w:p>
    <w:p w14:paraId="32BA6586" w14:textId="77777777" w:rsidR="00A84988" w:rsidRDefault="00A84988" w:rsidP="00A84988">
      <w:pPr>
        <w:pStyle w:val="af0"/>
      </w:pPr>
      <w:r>
        <w:rPr>
          <w:rFonts w:hint="eastAsia"/>
        </w:rPr>
        <w:t>於</w:t>
      </w:r>
      <w:r>
        <w:rPr>
          <w:rFonts w:hint="eastAsia"/>
        </w:rPr>
        <w:t xml:space="preserve"> 2023 </w:t>
      </w:r>
      <w:r>
        <w:rPr>
          <w:rFonts w:hint="eastAsia"/>
        </w:rPr>
        <w:t>年至</w:t>
      </w:r>
      <w:r>
        <w:rPr>
          <w:rFonts w:hint="eastAsia"/>
        </w:rPr>
        <w:t xml:space="preserve"> 2025 </w:t>
      </w:r>
      <w:r>
        <w:rPr>
          <w:rFonts w:hint="eastAsia"/>
        </w:rPr>
        <w:t>年</w:t>
      </w:r>
      <w:proofErr w:type="gramStart"/>
      <w:r>
        <w:rPr>
          <w:rFonts w:hint="eastAsia"/>
        </w:rPr>
        <w:t>期間，</w:t>
      </w:r>
      <w:proofErr w:type="gramEnd"/>
      <w:r>
        <w:rPr>
          <w:rFonts w:hint="eastAsia"/>
        </w:rPr>
        <w:t>年度相關係數分別為</w:t>
      </w:r>
      <w:r>
        <w:rPr>
          <w:rFonts w:hint="eastAsia"/>
        </w:rPr>
        <w:t xml:space="preserve"> 0.62</w:t>
      </w:r>
      <w:r>
        <w:rPr>
          <w:rFonts w:hint="eastAsia"/>
        </w:rPr>
        <w:t>、</w:t>
      </w:r>
      <w:r>
        <w:rPr>
          <w:rFonts w:hint="eastAsia"/>
        </w:rPr>
        <w:t xml:space="preserve">0.72 </w:t>
      </w:r>
      <w:r>
        <w:rPr>
          <w:rFonts w:hint="eastAsia"/>
        </w:rPr>
        <w:t>與</w:t>
      </w:r>
      <w:r>
        <w:rPr>
          <w:rFonts w:hint="eastAsia"/>
        </w:rPr>
        <w:t xml:space="preserve"> 0.61</w:t>
      </w:r>
      <w:r>
        <w:rPr>
          <w:rFonts w:hint="eastAsia"/>
        </w:rPr>
        <w:t>，顯示零售營業額與</w:t>
      </w:r>
      <w:r>
        <w:rPr>
          <w:rFonts w:hint="eastAsia"/>
        </w:rPr>
        <w:t xml:space="preserve"> CPI </w:t>
      </w:r>
      <w:r>
        <w:rPr>
          <w:rFonts w:hint="eastAsia"/>
        </w:rPr>
        <w:t>之關聯程度雖仍維持正相關，但相關強度於不同年度有所變動。此結果反映兩項經濟指標間之關係可能受到市場環境、產業發展以及消費結構改變之影響。</w:t>
      </w:r>
    </w:p>
    <w:p w14:paraId="33D59568" w14:textId="77777777" w:rsidR="00A84988" w:rsidRDefault="00A84988" w:rsidP="00A84988">
      <w:pPr>
        <w:pStyle w:val="af0"/>
      </w:pPr>
    </w:p>
    <w:p w14:paraId="36E740A7" w14:textId="23D17473" w:rsidR="007B4627" w:rsidRDefault="00A84988" w:rsidP="00A84988">
      <w:pPr>
        <w:pStyle w:val="af0"/>
      </w:pPr>
      <w:proofErr w:type="gramStart"/>
      <w:r>
        <w:rPr>
          <w:rFonts w:hint="eastAsia"/>
        </w:rPr>
        <w:t>此外，</w:t>
      </w:r>
      <w:proofErr w:type="gramEnd"/>
      <w:r>
        <w:rPr>
          <w:rFonts w:hint="eastAsia"/>
        </w:rPr>
        <w:t xml:space="preserve">2026 </w:t>
      </w:r>
      <w:r>
        <w:rPr>
          <w:rFonts w:hint="eastAsia"/>
        </w:rPr>
        <w:t>年之相關係數出現</w:t>
      </w:r>
      <w:r>
        <w:rPr>
          <w:rFonts w:hint="eastAsia"/>
        </w:rPr>
        <w:t xml:space="preserve"> -1.00 </w:t>
      </w:r>
      <w:r>
        <w:rPr>
          <w:rFonts w:hint="eastAsia"/>
        </w:rPr>
        <w:t>之極端數值。經資料檢視後發現，該年度資料尚未完整，樣本數不足可能導致相關係數受到少量資料影響而產生偏差。因此，</w:t>
      </w:r>
      <w:r>
        <w:rPr>
          <w:rFonts w:hint="eastAsia"/>
        </w:rPr>
        <w:t xml:space="preserve">2026 </w:t>
      </w:r>
      <w:r>
        <w:rPr>
          <w:rFonts w:hint="eastAsia"/>
        </w:rPr>
        <w:t>年之相關結果不宜作為長期市場趨勢之判斷依據，後續分析亦需考量資料完整性對統計結果之影響。</w:t>
      </w:r>
    </w:p>
    <w:p w14:paraId="60A81E7B" w14:textId="37D281D3" w:rsidR="007B4627" w:rsidRDefault="00A84988" w:rsidP="007B4627">
      <w:pPr>
        <w:pStyle w:val="2"/>
        <w:rPr>
          <w:lang w:eastAsia="zh-TW"/>
        </w:rPr>
      </w:pPr>
      <w:r w:rsidRPr="00A84988">
        <w:rPr>
          <w:lang w:eastAsia="zh-TW"/>
        </w:rPr>
        <w:t>不同零售通路之營業額結構比較</w:t>
      </w:r>
    </w:p>
    <w:p w14:paraId="2CA65064" w14:textId="253ACF9A" w:rsidR="007B4627" w:rsidRDefault="00A84988" w:rsidP="007B4627">
      <w:pPr>
        <w:pStyle w:val="af0"/>
      </w:pPr>
      <w:r w:rsidRPr="00A84988">
        <w:t>由於整體零售業指數可能無法充分反映不同通路之發展差異，因此本研究進一步依據零售業別進行分類分析，包含百貨公司業、便利商店業、超級市場業以及電子購物及郵購業，其結果如圖三所示。</w:t>
      </w:r>
    </w:p>
    <w:p w14:paraId="63265389" w14:textId="77777777" w:rsidR="00A84988" w:rsidRDefault="00A84988" w:rsidP="007B4627">
      <w:pPr>
        <w:pStyle w:val="af0"/>
      </w:pPr>
    </w:p>
    <w:tbl>
      <w:tblPr>
        <w:tblW w:w="5252" w:type="dxa"/>
        <w:tblInd w:w="80" w:type="dxa"/>
        <w:tblLook w:val="04A0" w:firstRow="1" w:lastRow="0" w:firstColumn="1" w:lastColumn="0" w:noHBand="0" w:noVBand="1"/>
      </w:tblPr>
      <w:tblGrid>
        <w:gridCol w:w="5252"/>
      </w:tblGrid>
      <w:tr w:rsidR="007B4627" w14:paraId="1CF4F8AB" w14:textId="77777777" w:rsidTr="002E5D01">
        <w:tc>
          <w:tcPr>
            <w:tcW w:w="5252" w:type="dxa"/>
          </w:tcPr>
          <w:p w14:paraId="0366E1E6" w14:textId="1EA97E42" w:rsidR="007B4627" w:rsidRDefault="00650773" w:rsidP="000E5746">
            <w:pPr>
              <w:pStyle w:val="af0"/>
              <w:ind w:firstLineChars="0" w:firstLine="0"/>
            </w:pPr>
            <w:r w:rsidRPr="00940F3F">
              <w:rPr>
                <w:noProof/>
              </w:rPr>
              <w:drawing>
                <wp:inline distT="0" distB="0" distL="0" distR="0" wp14:anchorId="0E8815DC" wp14:editId="7969F12C">
                  <wp:extent cx="3197860" cy="1791970"/>
                  <wp:effectExtent l="0" t="0" r="0" b="0"/>
                  <wp:docPr id="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97860" cy="1791970"/>
                          </a:xfrm>
                          <a:prstGeom prst="rect">
                            <a:avLst/>
                          </a:prstGeom>
                          <a:noFill/>
                          <a:ln>
                            <a:noFill/>
                          </a:ln>
                        </pic:spPr>
                      </pic:pic>
                    </a:graphicData>
                  </a:graphic>
                </wp:inline>
              </w:drawing>
            </w:r>
          </w:p>
        </w:tc>
      </w:tr>
      <w:tr w:rsidR="007B4627" w14:paraId="487476E2" w14:textId="77777777" w:rsidTr="002E5D01">
        <w:tc>
          <w:tcPr>
            <w:tcW w:w="5252" w:type="dxa"/>
          </w:tcPr>
          <w:p w14:paraId="7CF46FDD" w14:textId="77777777" w:rsidR="007B4627" w:rsidRDefault="007B4627" w:rsidP="000E5746">
            <w:pPr>
              <w:pStyle w:val="af0"/>
              <w:ind w:firstLineChars="0" w:firstLine="0"/>
            </w:pPr>
            <w:r>
              <w:rPr>
                <w:rFonts w:hint="eastAsia"/>
              </w:rPr>
              <w:t>圖三、台</w:t>
            </w:r>
            <w:r w:rsidRPr="007B4627">
              <w:t>灣零售細分產業營業額指數之時序走勢對比圖</w:t>
            </w:r>
          </w:p>
        </w:tc>
      </w:tr>
    </w:tbl>
    <w:p w14:paraId="546FECAD" w14:textId="77777777" w:rsidR="00A84988" w:rsidRDefault="00A84988" w:rsidP="00A84988">
      <w:pPr>
        <w:pStyle w:val="af0"/>
      </w:pPr>
    </w:p>
    <w:p w14:paraId="7013D28D" w14:textId="1A03F8CE" w:rsidR="00A84988" w:rsidRDefault="00A84988" w:rsidP="00A84988">
      <w:pPr>
        <w:pStyle w:val="af0"/>
      </w:pPr>
      <w:r>
        <w:rPr>
          <w:rFonts w:hint="eastAsia"/>
        </w:rPr>
        <w:t>透過各通路長期營業額指數平均值比較，可觀察不同零售型態於研究期間具有不同之成長特徵。</w:t>
      </w:r>
      <w:r w:rsidR="00D559DE" w:rsidRPr="00D559DE">
        <w:t>百貨公司業之長期平均指數為</w:t>
      </w:r>
      <w:r w:rsidR="00D559DE" w:rsidRPr="00D559DE">
        <w:t xml:space="preserve"> 88.67</w:t>
      </w:r>
      <w:r w:rsidR="00D559DE" w:rsidRPr="00D559DE">
        <w:t>，但由於各零售通路統計期間不同，該數值僅供參考，不宜直接進行絕對比較</w:t>
      </w:r>
      <w:r>
        <w:rPr>
          <w:rFonts w:hint="eastAsia"/>
        </w:rPr>
        <w:t>；便利商店業與超級市場業之平均指數分別為</w:t>
      </w:r>
      <w:r>
        <w:rPr>
          <w:rFonts w:hint="eastAsia"/>
        </w:rPr>
        <w:t xml:space="preserve"> 80.96 </w:t>
      </w:r>
      <w:r>
        <w:rPr>
          <w:rFonts w:hint="eastAsia"/>
        </w:rPr>
        <w:t>與</w:t>
      </w:r>
      <w:r>
        <w:rPr>
          <w:rFonts w:hint="eastAsia"/>
        </w:rPr>
        <w:t xml:space="preserve"> 71.49</w:t>
      </w:r>
      <w:r>
        <w:rPr>
          <w:rFonts w:hint="eastAsia"/>
        </w:rPr>
        <w:t>，兩者皆呈現相對穩定之長期成長趨勢。</w:t>
      </w:r>
    </w:p>
    <w:p w14:paraId="438156AC" w14:textId="77777777" w:rsidR="00A84988" w:rsidRDefault="00A84988" w:rsidP="00A84988">
      <w:pPr>
        <w:pStyle w:val="af0"/>
      </w:pPr>
    </w:p>
    <w:p w14:paraId="57E98A7B" w14:textId="1BB6561D" w:rsidR="00A84988" w:rsidRDefault="00D559DE" w:rsidP="00A84988">
      <w:pPr>
        <w:pStyle w:val="af0"/>
      </w:pPr>
      <w:r w:rsidRPr="00D559DE">
        <w:t>電子購物及郵購業之長期平均指數為</w:t>
      </w:r>
      <w:r w:rsidRPr="00D559DE">
        <w:t xml:space="preserve"> 64.10</w:t>
      </w:r>
      <w:r w:rsidRPr="00D559DE">
        <w:t>，雖平均值相對較低，但主要因統計期間較晚開始，資料長度較短，因此不宜與其他通路進行直接比較。從其時序變化趨勢可發現，</w:t>
      </w:r>
      <w:r w:rsidRPr="00D559DE">
        <w:t xml:space="preserve">2020 </w:t>
      </w:r>
      <w:r w:rsidRPr="00D559DE">
        <w:t>年後電子購物及郵購業呈現明顯成長，可能與數位消費模式提升以及網路購物普及有關。</w:t>
      </w:r>
    </w:p>
    <w:p w14:paraId="04040BDE" w14:textId="77777777" w:rsidR="00D559DE" w:rsidRDefault="00D559DE" w:rsidP="00A84988">
      <w:pPr>
        <w:pStyle w:val="af0"/>
        <w:rPr>
          <w:rFonts w:hint="eastAsia"/>
        </w:rPr>
      </w:pPr>
    </w:p>
    <w:p w14:paraId="33A95EBD" w14:textId="35728858" w:rsidR="007B4627" w:rsidRDefault="00A84988" w:rsidP="00A84988">
      <w:pPr>
        <w:pStyle w:val="af0"/>
      </w:pPr>
      <w:r>
        <w:rPr>
          <w:rFonts w:hint="eastAsia"/>
        </w:rPr>
        <w:t>整體而言，不同零售通路對市場環境變化之反應存在差異，顯示零售產業內部具有明顯之異質性。因此，單一整體營業額指數可能無法完整呈現各類型零售通路之發展特性。</w:t>
      </w:r>
    </w:p>
    <w:p w14:paraId="03A4531A" w14:textId="26A5978A" w:rsidR="007B4627" w:rsidRDefault="00A84988" w:rsidP="007B4627">
      <w:pPr>
        <w:pStyle w:val="2"/>
        <w:rPr>
          <w:lang w:eastAsia="zh-TW"/>
        </w:rPr>
      </w:pPr>
      <w:r>
        <w:rPr>
          <w:rFonts w:hint="eastAsia"/>
          <w:lang w:eastAsia="zh-TW"/>
        </w:rPr>
        <w:t xml:space="preserve">CPI </w:t>
      </w:r>
      <w:r>
        <w:rPr>
          <w:rFonts w:hint="eastAsia"/>
          <w:lang w:eastAsia="zh-TW"/>
        </w:rPr>
        <w:t>修正後之實質營業額分析</w:t>
      </w:r>
    </w:p>
    <w:p w14:paraId="5214C923" w14:textId="0C924D57" w:rsidR="007B4627" w:rsidRDefault="00A84988" w:rsidP="007B4627">
      <w:pPr>
        <w:pStyle w:val="af0"/>
      </w:pPr>
      <w:r w:rsidRPr="00A84988">
        <w:t>為降低物價變動對名目營業額判讀造成之影響，本研究利用</w:t>
      </w:r>
      <w:r w:rsidRPr="00A84988">
        <w:t xml:space="preserve"> CPI </w:t>
      </w:r>
      <w:r w:rsidRPr="00A84988">
        <w:t>對零售營業額指數進行價格調整，建立實質營業額指標</w:t>
      </w:r>
      <w:r>
        <w:fldChar w:fldCharType="begin"/>
      </w:r>
      <w:r>
        <w:instrText xml:space="preserve"> REF _Ref231313508 \r \h </w:instrText>
      </w:r>
      <w:r>
        <w:fldChar w:fldCharType="separate"/>
      </w:r>
      <w:r>
        <w:t>[2]</w:t>
      </w:r>
      <w:r>
        <w:fldChar w:fldCharType="end"/>
      </w:r>
      <w:r>
        <w:fldChar w:fldCharType="begin"/>
      </w:r>
      <w:r>
        <w:instrText xml:space="preserve"> REF _Ref231313536 \r \h </w:instrText>
      </w:r>
      <w:r>
        <w:fldChar w:fldCharType="separate"/>
      </w:r>
      <w:r>
        <w:t>[3]</w:t>
      </w:r>
      <w:r>
        <w:fldChar w:fldCharType="end"/>
      </w:r>
      <w:r w:rsidRPr="00A84988">
        <w:t>，相關結果如圖四所示。</w:t>
      </w:r>
    </w:p>
    <w:tbl>
      <w:tblPr>
        <w:tblW w:w="5250" w:type="dxa"/>
        <w:tblInd w:w="80" w:type="dxa"/>
        <w:tblLook w:val="04A0" w:firstRow="1" w:lastRow="0" w:firstColumn="1" w:lastColumn="0" w:noHBand="0" w:noVBand="1"/>
      </w:tblPr>
      <w:tblGrid>
        <w:gridCol w:w="5252"/>
      </w:tblGrid>
      <w:tr w:rsidR="007B4627" w14:paraId="62B959B8" w14:textId="77777777" w:rsidTr="002E5D01">
        <w:tc>
          <w:tcPr>
            <w:tcW w:w="5250" w:type="dxa"/>
          </w:tcPr>
          <w:p w14:paraId="02752281" w14:textId="53D2B73B" w:rsidR="007B4627" w:rsidRDefault="00650773" w:rsidP="007B4627">
            <w:pPr>
              <w:rPr>
                <w:lang w:eastAsia="zh-TW"/>
              </w:rPr>
            </w:pPr>
            <w:r w:rsidRPr="00940F3F">
              <w:rPr>
                <w:noProof/>
                <w:lang w:eastAsia="zh-TW"/>
              </w:rPr>
              <w:drawing>
                <wp:inline distT="0" distB="0" distL="0" distR="0" wp14:anchorId="40DE0B0E" wp14:editId="3B099370">
                  <wp:extent cx="3197860" cy="1791970"/>
                  <wp:effectExtent l="0" t="0" r="0" b="0"/>
                  <wp:docPr id="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7860" cy="1791970"/>
                          </a:xfrm>
                          <a:prstGeom prst="rect">
                            <a:avLst/>
                          </a:prstGeom>
                          <a:noFill/>
                          <a:ln>
                            <a:noFill/>
                          </a:ln>
                        </pic:spPr>
                      </pic:pic>
                    </a:graphicData>
                  </a:graphic>
                </wp:inline>
              </w:drawing>
            </w:r>
          </w:p>
        </w:tc>
      </w:tr>
      <w:tr w:rsidR="007B4627" w14:paraId="3F4483C2" w14:textId="77777777" w:rsidTr="002E5D01">
        <w:tc>
          <w:tcPr>
            <w:tcW w:w="5250" w:type="dxa"/>
          </w:tcPr>
          <w:p w14:paraId="7BB3E426" w14:textId="77777777" w:rsidR="007B4627" w:rsidRDefault="0000166F" w:rsidP="007B4627">
            <w:pPr>
              <w:rPr>
                <w:lang w:eastAsia="zh-TW"/>
              </w:rPr>
            </w:pPr>
            <w:r>
              <w:rPr>
                <w:rFonts w:hint="eastAsia"/>
                <w:lang w:eastAsia="zh-TW"/>
              </w:rPr>
              <w:t>圖四、</w:t>
            </w:r>
            <w:r w:rsidRPr="0000166F">
              <w:rPr>
                <w:lang w:eastAsia="zh-TW"/>
              </w:rPr>
              <w:t>台灣零售業名目營業額指數與實質營業額指數之歷史走勢分叉對比圖</w:t>
            </w:r>
          </w:p>
        </w:tc>
      </w:tr>
    </w:tbl>
    <w:p w14:paraId="32306D73" w14:textId="11EFE2C5" w:rsidR="0000166F" w:rsidRDefault="0000166F" w:rsidP="0000166F">
      <w:pPr>
        <w:pStyle w:val="af0"/>
      </w:pPr>
    </w:p>
    <w:p w14:paraId="698AC06D" w14:textId="6C8CFC84" w:rsidR="00A84988" w:rsidRDefault="00A84988" w:rsidP="00A84988">
      <w:pPr>
        <w:pStyle w:val="af0"/>
      </w:pPr>
      <w:r>
        <w:rPr>
          <w:rFonts w:hint="eastAsia"/>
        </w:rPr>
        <w:t>由圖四可觀察到，名目營業額與經</w:t>
      </w:r>
      <w:r>
        <w:rPr>
          <w:rFonts w:hint="eastAsia"/>
        </w:rPr>
        <w:t xml:space="preserve"> CPI </w:t>
      </w:r>
      <w:r>
        <w:rPr>
          <w:rFonts w:hint="eastAsia"/>
        </w:rPr>
        <w:t>修正後之實質營業額於早期期間變化趨勢較為接近。然而，自近年物價上升速度提高後，兩者之差距逐漸增加，</w:t>
      </w:r>
      <w:r w:rsidR="00D559DE" w:rsidRPr="00D559DE">
        <w:t>顯示部分名目營業額成長可能受到物價水準上升的影響</w:t>
      </w:r>
      <w:r>
        <w:rPr>
          <w:rFonts w:hint="eastAsia"/>
        </w:rPr>
        <w:t>。</w:t>
      </w:r>
    </w:p>
    <w:p w14:paraId="0B050C5D" w14:textId="77777777" w:rsidR="00A84988" w:rsidRDefault="00A84988" w:rsidP="00A84988">
      <w:pPr>
        <w:pStyle w:val="af0"/>
      </w:pPr>
    </w:p>
    <w:p w14:paraId="5BB7FB70" w14:textId="2F033F75" w:rsidR="00A84988" w:rsidRDefault="00A84988" w:rsidP="00A84988">
      <w:pPr>
        <w:pStyle w:val="af0"/>
      </w:pPr>
      <w:r>
        <w:rPr>
          <w:rFonts w:hint="eastAsia"/>
        </w:rPr>
        <w:t>研究期間之通膨修正差異約為</w:t>
      </w:r>
      <w:r>
        <w:rPr>
          <w:rFonts w:hint="eastAsia"/>
        </w:rPr>
        <w:t xml:space="preserve"> -6.61 </w:t>
      </w:r>
      <w:r>
        <w:rPr>
          <w:rFonts w:hint="eastAsia"/>
        </w:rPr>
        <w:t>點，</w:t>
      </w:r>
      <w:r w:rsidR="00D559DE" w:rsidRPr="00D559DE">
        <w:t>顯示若未考慮</w:t>
      </w:r>
      <w:r w:rsidR="00D559DE" w:rsidRPr="00D559DE">
        <w:t xml:space="preserve"> CPI </w:t>
      </w:r>
      <w:r w:rsidR="00D559DE" w:rsidRPr="00D559DE">
        <w:t>變動，零售市場變化幅度可能存在高估的情形</w:t>
      </w:r>
      <w:r>
        <w:rPr>
          <w:rFonts w:hint="eastAsia"/>
        </w:rPr>
        <w:t>。然而，該指標僅反映價格調整後之相對變化，並不能直接代表實際銷售數量或消費者購買量之變化，因此仍需搭配其他消費相關指標進一步驗證。</w:t>
      </w:r>
    </w:p>
    <w:p w14:paraId="3C35E59C" w14:textId="77777777" w:rsidR="00A84988" w:rsidRDefault="00A84988" w:rsidP="00A84988">
      <w:pPr>
        <w:pStyle w:val="af0"/>
      </w:pPr>
    </w:p>
    <w:p w14:paraId="0E075C66" w14:textId="7AB6570D" w:rsidR="00A84988" w:rsidRDefault="00A84988" w:rsidP="00A84988">
      <w:pPr>
        <w:pStyle w:val="af0"/>
      </w:pPr>
      <w:proofErr w:type="gramStart"/>
      <w:r>
        <w:rPr>
          <w:rFonts w:hint="eastAsia"/>
        </w:rPr>
        <w:t>此外，</w:t>
      </w:r>
      <w:proofErr w:type="gramEnd"/>
      <w:r>
        <w:rPr>
          <w:rFonts w:hint="eastAsia"/>
        </w:rPr>
        <w:t>當分析期間聚焦於</w:t>
      </w:r>
      <w:r>
        <w:rPr>
          <w:rFonts w:hint="eastAsia"/>
        </w:rPr>
        <w:t xml:space="preserve"> 2022 </w:t>
      </w:r>
      <w:r>
        <w:rPr>
          <w:rFonts w:hint="eastAsia"/>
        </w:rPr>
        <w:t>年至</w:t>
      </w:r>
      <w:r>
        <w:rPr>
          <w:rFonts w:hint="eastAsia"/>
        </w:rPr>
        <w:t xml:space="preserve"> 2026 </w:t>
      </w:r>
      <w:r>
        <w:rPr>
          <w:rFonts w:hint="eastAsia"/>
        </w:rPr>
        <w:t>年時，由於該階段物價上升速度較高，名目與實質營業額之差異較長期平均更為明顯。此結果顯示不同觀察期間之選擇將影響資料解讀，因此於進行長期經濟分析時，應同時考量整體趨勢與短期市場變化。</w:t>
      </w:r>
    </w:p>
    <w:p w14:paraId="06E39778" w14:textId="02F58703" w:rsidR="0000166F" w:rsidRPr="0000166F" w:rsidRDefault="00A84988" w:rsidP="0000166F">
      <w:pPr>
        <w:pStyle w:val="2"/>
        <w:rPr>
          <w:lang w:eastAsia="zh-TW"/>
        </w:rPr>
      </w:pPr>
      <w:r w:rsidRPr="00A84988">
        <w:rPr>
          <w:lang w:eastAsia="zh-TW"/>
        </w:rPr>
        <w:t>時間序列預測結果分析</w:t>
      </w:r>
    </w:p>
    <w:p w14:paraId="64367D08" w14:textId="73CE99FA" w:rsidR="0000166F" w:rsidRDefault="00A84988" w:rsidP="0000166F">
      <w:pPr>
        <w:pStyle w:val="af0"/>
      </w:pPr>
      <w:r w:rsidRPr="00A84988">
        <w:t>為觀察零售營業額指數之可能發展趨勢，本研究</w:t>
      </w:r>
      <w:r w:rsidR="00D559DE" w:rsidRPr="00D559DE">
        <w:t>利用</w:t>
      </w:r>
      <w:r w:rsidR="00D559DE" w:rsidRPr="00D559DE">
        <w:t xml:space="preserve"> Power BI </w:t>
      </w:r>
      <w:r w:rsidR="00D559DE" w:rsidRPr="00D559DE">
        <w:t>內建之時間序列預測功能，根據歷史資料進行未來趨勢推估</w:t>
      </w:r>
      <w:r w:rsidR="00D559DE">
        <w:rPr>
          <w:rFonts w:hint="eastAsia"/>
        </w:rPr>
        <w:t xml:space="preserve"> </w:t>
      </w:r>
      <w:r>
        <w:fldChar w:fldCharType="begin"/>
      </w:r>
      <w:r>
        <w:instrText xml:space="preserve"> REF _Ref231313536 \r \h </w:instrText>
      </w:r>
      <w:r>
        <w:fldChar w:fldCharType="separate"/>
      </w:r>
      <w:r>
        <w:t>[3]</w:t>
      </w:r>
      <w:r>
        <w:fldChar w:fldCharType="end"/>
      </w:r>
      <w:r>
        <w:fldChar w:fldCharType="begin"/>
      </w:r>
      <w:r>
        <w:instrText xml:space="preserve"> REF _Ref231313487 \r \h </w:instrText>
      </w:r>
      <w:r>
        <w:fldChar w:fldCharType="separate"/>
      </w:r>
      <w:r>
        <w:t>[</w:t>
      </w:r>
      <w:r w:rsidR="0015449F">
        <w:rPr>
          <w:rFonts w:hint="eastAsia"/>
        </w:rPr>
        <w:t>4</w:t>
      </w:r>
      <w:r>
        <w:t>]</w:t>
      </w:r>
      <w:r>
        <w:fldChar w:fldCharType="end"/>
      </w:r>
      <w:r w:rsidRPr="00A84988">
        <w:t>，並於</w:t>
      </w:r>
      <w:r w:rsidRPr="00A84988">
        <w:t xml:space="preserve"> 95% </w:t>
      </w:r>
      <w:r w:rsidRPr="00A84988">
        <w:t>信賴區間下呈現預測結果，如圖五所示。</w:t>
      </w:r>
    </w:p>
    <w:p w14:paraId="0B2487CE" w14:textId="77777777" w:rsidR="00A84988" w:rsidRPr="0000166F" w:rsidRDefault="00A84988" w:rsidP="0000166F">
      <w:pPr>
        <w:pStyle w:val="af0"/>
      </w:pPr>
    </w:p>
    <w:tbl>
      <w:tblPr>
        <w:tblW w:w="0" w:type="auto"/>
        <w:tblInd w:w="80" w:type="dxa"/>
        <w:tblLook w:val="04A0" w:firstRow="1" w:lastRow="0" w:firstColumn="1" w:lastColumn="0" w:noHBand="0" w:noVBand="1"/>
      </w:tblPr>
      <w:tblGrid>
        <w:gridCol w:w="4960"/>
      </w:tblGrid>
      <w:tr w:rsidR="0000166F" w14:paraId="32284608" w14:textId="77777777" w:rsidTr="002E5D01">
        <w:tc>
          <w:tcPr>
            <w:tcW w:w="5096" w:type="dxa"/>
          </w:tcPr>
          <w:p w14:paraId="19677CB7" w14:textId="16CBD499" w:rsidR="0000166F" w:rsidRDefault="00650773" w:rsidP="000E5746">
            <w:pPr>
              <w:pStyle w:val="af0"/>
              <w:ind w:firstLineChars="0" w:firstLine="0"/>
            </w:pPr>
            <w:r w:rsidRPr="00940F3F">
              <w:rPr>
                <w:noProof/>
              </w:rPr>
              <w:drawing>
                <wp:inline distT="0" distB="0" distL="0" distR="0" wp14:anchorId="215AFE4B" wp14:editId="582C6AC9">
                  <wp:extent cx="3197860" cy="1797050"/>
                  <wp:effectExtent l="0" t="0" r="0" b="0"/>
                  <wp:docPr id="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97860" cy="1797050"/>
                          </a:xfrm>
                          <a:prstGeom prst="rect">
                            <a:avLst/>
                          </a:prstGeom>
                          <a:noFill/>
                          <a:ln>
                            <a:noFill/>
                          </a:ln>
                        </pic:spPr>
                      </pic:pic>
                    </a:graphicData>
                  </a:graphic>
                </wp:inline>
              </w:drawing>
            </w:r>
          </w:p>
        </w:tc>
      </w:tr>
      <w:tr w:rsidR="0000166F" w14:paraId="5C55E330" w14:textId="77777777" w:rsidTr="002E5D01">
        <w:tc>
          <w:tcPr>
            <w:tcW w:w="5096" w:type="dxa"/>
          </w:tcPr>
          <w:p w14:paraId="4E137AAB" w14:textId="77777777" w:rsidR="0000166F" w:rsidRDefault="0000166F" w:rsidP="000E5746">
            <w:pPr>
              <w:pStyle w:val="af0"/>
              <w:ind w:firstLineChars="0" w:firstLine="0"/>
            </w:pPr>
            <w:r>
              <w:rPr>
                <w:rFonts w:hint="eastAsia"/>
              </w:rPr>
              <w:t>圖五、</w:t>
            </w:r>
            <w:r w:rsidRPr="0000166F">
              <w:t>台灣零售業發展趨勢之</w:t>
            </w:r>
            <w:r w:rsidRPr="0000166F">
              <w:t xml:space="preserve"> AI </w:t>
            </w:r>
            <w:r w:rsidRPr="0000166F">
              <w:t>時序預測模型走勢與歷史發射台指標圖</w:t>
            </w:r>
          </w:p>
        </w:tc>
      </w:tr>
    </w:tbl>
    <w:p w14:paraId="66B8D636" w14:textId="77777777" w:rsidR="00A84988" w:rsidRDefault="00A84988" w:rsidP="0000166F">
      <w:pPr>
        <w:pStyle w:val="af0"/>
      </w:pPr>
    </w:p>
    <w:p w14:paraId="39360D21" w14:textId="77777777" w:rsidR="00A84988" w:rsidRDefault="00A84988" w:rsidP="00A84988">
      <w:pPr>
        <w:pStyle w:val="af0"/>
      </w:pPr>
      <w:r>
        <w:rPr>
          <w:rFonts w:hint="eastAsia"/>
        </w:rPr>
        <w:t>根據預測結果，零售業營業額指數於未來期間仍呈現緩慢上升趨勢。然而，預測模型之結果主要建立於歷史資料之時間序列模式，因此其準確性仍可能受到未來經濟環境、消費行為改變、政策因素及重大突發事件之影響。</w:t>
      </w:r>
    </w:p>
    <w:p w14:paraId="69A26E1F" w14:textId="77777777" w:rsidR="00A84988" w:rsidRDefault="00A84988" w:rsidP="00A84988">
      <w:pPr>
        <w:pStyle w:val="af0"/>
      </w:pPr>
    </w:p>
    <w:p w14:paraId="176791E0" w14:textId="26D43FC2" w:rsidR="00A84988" w:rsidRDefault="00A84988" w:rsidP="00A84988">
      <w:pPr>
        <w:pStyle w:val="af0"/>
      </w:pPr>
      <w:proofErr w:type="gramStart"/>
      <w:r>
        <w:rPr>
          <w:rFonts w:hint="eastAsia"/>
        </w:rPr>
        <w:t>此外，</w:t>
      </w:r>
      <w:proofErr w:type="gramEnd"/>
      <w:r>
        <w:rPr>
          <w:rFonts w:hint="eastAsia"/>
        </w:rPr>
        <w:t xml:space="preserve">2022 </w:t>
      </w:r>
      <w:r>
        <w:rPr>
          <w:rFonts w:hint="eastAsia"/>
        </w:rPr>
        <w:t>年至</w:t>
      </w:r>
      <w:r>
        <w:rPr>
          <w:rFonts w:hint="eastAsia"/>
        </w:rPr>
        <w:t xml:space="preserve"> 2026 </w:t>
      </w:r>
      <w:r>
        <w:rPr>
          <w:rFonts w:hint="eastAsia"/>
        </w:rPr>
        <w:t>年期間之平均營業額指數為</w:t>
      </w:r>
      <w:r>
        <w:rPr>
          <w:rFonts w:hint="eastAsia"/>
        </w:rPr>
        <w:t xml:space="preserve"> 109.67</w:t>
      </w:r>
      <w:r>
        <w:rPr>
          <w:rFonts w:hint="eastAsia"/>
        </w:rPr>
        <w:t>，累積成長率約為</w:t>
      </w:r>
      <w:r>
        <w:rPr>
          <w:rFonts w:hint="eastAsia"/>
        </w:rPr>
        <w:t xml:space="preserve"> 8%</w:t>
      </w:r>
      <w:r>
        <w:rPr>
          <w:rFonts w:hint="eastAsia"/>
        </w:rPr>
        <w:t>，</w:t>
      </w:r>
      <w:r w:rsidR="00D559DE" w:rsidRPr="00D559DE">
        <w:t>指數水準增加約</w:t>
      </w:r>
      <w:r w:rsidR="00D559DE" w:rsidRPr="00D559DE">
        <w:t xml:space="preserve"> 8.87 </w:t>
      </w:r>
      <w:r w:rsidR="00D559DE" w:rsidRPr="00D559DE">
        <w:t>點，係依研究期間比較結果計算得出</w:t>
      </w:r>
      <w:r>
        <w:rPr>
          <w:rFonts w:hint="eastAsia"/>
        </w:rPr>
        <w:t>。此結果顯示近期零售市場仍維持一定程度之成長趨勢，並成為後續時間序列預測的重要歷史參考基礎。</w:t>
      </w:r>
    </w:p>
    <w:p w14:paraId="7B540674" w14:textId="77777777" w:rsidR="00A84988" w:rsidRDefault="00A84988" w:rsidP="00A84988">
      <w:pPr>
        <w:pStyle w:val="af0"/>
      </w:pPr>
    </w:p>
    <w:p w14:paraId="1D9B74BF" w14:textId="6188864D" w:rsidR="0000166F" w:rsidRPr="0000166F" w:rsidRDefault="00A84988" w:rsidP="00A84988">
      <w:pPr>
        <w:pStyle w:val="af0"/>
      </w:pPr>
      <w:r>
        <w:rPr>
          <w:rFonts w:hint="eastAsia"/>
        </w:rPr>
        <w:t>綜合而言，時間序列預測可作為零售市場趨勢觀察之輔助工具，但其結果應與實際經濟環境及其他市場資訊共同評估，而不應視為未來市場變化之絕對判斷。</w:t>
      </w:r>
    </w:p>
    <w:p w14:paraId="6FDA8326" w14:textId="77777777" w:rsidR="00E97402" w:rsidRDefault="001D03BB">
      <w:pPr>
        <w:pStyle w:val="1"/>
        <w:rPr>
          <w:lang w:eastAsia="zh-TW"/>
        </w:rPr>
      </w:pPr>
      <w:r>
        <w:rPr>
          <w:rFonts w:hint="eastAsia"/>
          <w:lang w:eastAsia="zh-TW"/>
        </w:rPr>
        <w:t>結論</w:t>
      </w:r>
    </w:p>
    <w:p w14:paraId="3B37F401" w14:textId="36951B84" w:rsidR="00A84988" w:rsidRDefault="00A84988" w:rsidP="00A84988">
      <w:pPr>
        <w:pStyle w:val="af0"/>
      </w:pPr>
      <w:r>
        <w:rPr>
          <w:rFonts w:hint="eastAsia"/>
        </w:rPr>
        <w:t>本研究以台灣零售業營業額指數與消費者物價指數作為主要分析對象，整合經濟部統計處與行政院主計總處所公布之長期公開統計資料</w:t>
      </w:r>
      <w:r>
        <w:fldChar w:fldCharType="begin"/>
      </w:r>
      <w:r>
        <w:instrText xml:space="preserve"> </w:instrText>
      </w:r>
      <w:r>
        <w:rPr>
          <w:rFonts w:hint="eastAsia"/>
        </w:rPr>
        <w:instrText>REF _Ref231313450 \r \h</w:instrText>
      </w:r>
      <w:r>
        <w:instrText xml:space="preserve"> </w:instrText>
      </w:r>
      <w:r>
        <w:fldChar w:fldCharType="separate"/>
      </w:r>
      <w:r>
        <w:t>[1]</w:t>
      </w:r>
      <w:r>
        <w:fldChar w:fldCharType="end"/>
      </w:r>
      <w:r>
        <w:fldChar w:fldCharType="begin"/>
      </w:r>
      <w:r>
        <w:instrText xml:space="preserve"> REF _Ref231313508 \r \h </w:instrText>
      </w:r>
      <w:r>
        <w:fldChar w:fldCharType="separate"/>
      </w:r>
      <w:r>
        <w:t>[2]</w:t>
      </w:r>
      <w:r>
        <w:fldChar w:fldCharType="end"/>
      </w:r>
      <w:r>
        <w:rPr>
          <w:rFonts w:hint="eastAsia"/>
        </w:rPr>
        <w:t>，</w:t>
      </w:r>
      <w:r w:rsidR="00112C70" w:rsidRPr="00112C70">
        <w:t>並透過</w:t>
      </w:r>
      <w:r w:rsidR="00112C70" w:rsidRPr="00112C70">
        <w:t xml:space="preserve"> Power BI </w:t>
      </w:r>
      <w:r w:rsidR="00112C70" w:rsidRPr="00112C70">
        <w:t>進行資料前處理、資料關聯建立、</w:t>
      </w:r>
      <w:r w:rsidR="00112C70" w:rsidRPr="00112C70">
        <w:t xml:space="preserve">DAX </w:t>
      </w:r>
      <w:r w:rsidR="00112C70" w:rsidRPr="00112C70">
        <w:t>度量值設計與互動式視覺化</w:t>
      </w:r>
      <w:r w:rsidR="00112C70" w:rsidRPr="00112C70">
        <w:t>分析</w:t>
      </w:r>
      <w:r>
        <w:rPr>
          <w:rFonts w:hint="eastAsia"/>
        </w:rPr>
        <w:t xml:space="preserve"> </w:t>
      </w:r>
      <w:r>
        <w:fldChar w:fldCharType="begin"/>
      </w:r>
      <w:r>
        <w:instrText xml:space="preserve"> </w:instrText>
      </w:r>
      <w:r>
        <w:rPr>
          <w:rFonts w:hint="eastAsia"/>
        </w:rPr>
        <w:instrText>REF _Ref231313536 \r \h</w:instrText>
      </w:r>
      <w:r>
        <w:instrText xml:space="preserve"> </w:instrText>
      </w:r>
      <w:r>
        <w:fldChar w:fldCharType="separate"/>
      </w:r>
      <w:r>
        <w:t>[3]</w:t>
      </w:r>
      <w:r>
        <w:fldChar w:fldCharType="end"/>
      </w:r>
      <w:r>
        <w:rPr>
          <w:rFonts w:hint="eastAsia"/>
        </w:rPr>
        <w:t>，以探討不同時間尺度下零售市場營業額變化與物價水準之關聯性。</w:t>
      </w:r>
    </w:p>
    <w:p w14:paraId="6C988BC6" w14:textId="77777777" w:rsidR="00A84988" w:rsidRDefault="00A84988" w:rsidP="00A84988">
      <w:pPr>
        <w:pStyle w:val="af0"/>
      </w:pPr>
    </w:p>
    <w:p w14:paraId="33371AB9" w14:textId="7AF5249C" w:rsidR="00A84988" w:rsidRDefault="00A84988" w:rsidP="00A84988">
      <w:pPr>
        <w:pStyle w:val="af0"/>
      </w:pPr>
      <w:r>
        <w:rPr>
          <w:rFonts w:hint="eastAsia"/>
        </w:rPr>
        <w:t>研究結果顯示，在</w:t>
      </w:r>
      <w:r>
        <w:rPr>
          <w:rFonts w:hint="eastAsia"/>
        </w:rPr>
        <w:t xml:space="preserve"> 1999 </w:t>
      </w:r>
      <w:r>
        <w:rPr>
          <w:rFonts w:hint="eastAsia"/>
        </w:rPr>
        <w:t>年至</w:t>
      </w:r>
      <w:r>
        <w:rPr>
          <w:rFonts w:hint="eastAsia"/>
        </w:rPr>
        <w:t xml:space="preserve"> 2026 </w:t>
      </w:r>
      <w:r>
        <w:rPr>
          <w:rFonts w:hint="eastAsia"/>
        </w:rPr>
        <w:t>年之長期觀察期間內，零售業營業額指數與</w:t>
      </w:r>
      <w:r>
        <w:rPr>
          <w:rFonts w:hint="eastAsia"/>
        </w:rPr>
        <w:t xml:space="preserve"> CPI </w:t>
      </w:r>
      <w:r>
        <w:rPr>
          <w:rFonts w:hint="eastAsia"/>
        </w:rPr>
        <w:t>呈現整體上升趨勢，兩者之皮爾</w:t>
      </w:r>
      <w:proofErr w:type="gramStart"/>
      <w:r>
        <w:rPr>
          <w:rFonts w:hint="eastAsia"/>
        </w:rPr>
        <w:t>森積差</w:t>
      </w:r>
      <w:proofErr w:type="gramEnd"/>
      <w:r>
        <w:rPr>
          <w:rFonts w:hint="eastAsia"/>
        </w:rPr>
        <w:t>相關係數達</w:t>
      </w:r>
      <w:r>
        <w:rPr>
          <w:rFonts w:hint="eastAsia"/>
        </w:rPr>
        <w:t xml:space="preserve"> 0.77</w:t>
      </w:r>
      <w:r>
        <w:rPr>
          <w:rFonts w:hint="eastAsia"/>
        </w:rPr>
        <w:t>，</w:t>
      </w:r>
      <w:r w:rsidR="00D559DE" w:rsidRPr="00D559DE">
        <w:t>顯示零售市場營業額變化與物價水準之間呈現高度正向線性相關</w:t>
      </w:r>
      <w:r>
        <w:rPr>
          <w:rFonts w:hint="eastAsia"/>
        </w:rPr>
        <w:t xml:space="preserve"> </w:t>
      </w:r>
      <w:r>
        <w:fldChar w:fldCharType="begin"/>
      </w:r>
      <w:r>
        <w:instrText xml:space="preserve"> </w:instrText>
      </w:r>
      <w:r>
        <w:rPr>
          <w:rFonts w:hint="eastAsia"/>
        </w:rPr>
        <w:instrText>REF _Ref231313660 \r \h</w:instrText>
      </w:r>
      <w:r>
        <w:instrText xml:space="preserve"> </w:instrText>
      </w:r>
      <w:r>
        <w:fldChar w:fldCharType="separate"/>
      </w:r>
      <w:r>
        <w:t>[</w:t>
      </w:r>
      <w:r w:rsidR="0015449F">
        <w:rPr>
          <w:rFonts w:hint="eastAsia"/>
        </w:rPr>
        <w:t>5</w:t>
      </w:r>
      <w:r>
        <w:t>]</w:t>
      </w:r>
      <w:r>
        <w:fldChar w:fldCharType="end"/>
      </w:r>
      <w:r>
        <w:rPr>
          <w:rFonts w:hint="eastAsia"/>
        </w:rPr>
        <w:t>。然而，相關係數僅能反映變數間之統計相關性，無法直接推論物價變動為零售營業額成長之單一影響因素，因此市場需求變化、所得水準、消費模式轉變與產業結構調整等外部因素，仍可能對零售市場發展造成影響。</w:t>
      </w:r>
    </w:p>
    <w:p w14:paraId="64090558" w14:textId="77777777" w:rsidR="00A84988" w:rsidRDefault="00A84988" w:rsidP="00A84988">
      <w:pPr>
        <w:pStyle w:val="af0"/>
      </w:pPr>
    </w:p>
    <w:p w14:paraId="491EEE84" w14:textId="1CA71616" w:rsidR="00A84988" w:rsidRDefault="00A84988" w:rsidP="00A84988">
      <w:pPr>
        <w:pStyle w:val="af0"/>
      </w:pPr>
      <w:proofErr w:type="gramStart"/>
      <w:r>
        <w:rPr>
          <w:rFonts w:hint="eastAsia"/>
        </w:rPr>
        <w:t>此外，</w:t>
      </w:r>
      <w:proofErr w:type="gramEnd"/>
      <w:r>
        <w:rPr>
          <w:rFonts w:hint="eastAsia"/>
        </w:rPr>
        <w:t>透過不同年度之相關性分析發現，零售業營業額指數與</w:t>
      </w:r>
      <w:r>
        <w:rPr>
          <w:rFonts w:hint="eastAsia"/>
        </w:rPr>
        <w:t xml:space="preserve"> CPI </w:t>
      </w:r>
      <w:r>
        <w:rPr>
          <w:rFonts w:hint="eastAsia"/>
        </w:rPr>
        <w:t>之關聯程度會隨時間產生變化。</w:t>
      </w:r>
      <w:r>
        <w:rPr>
          <w:rFonts w:hint="eastAsia"/>
        </w:rPr>
        <w:t xml:space="preserve">2020 </w:t>
      </w:r>
      <w:r>
        <w:rPr>
          <w:rFonts w:hint="eastAsia"/>
        </w:rPr>
        <w:t>年因特殊外部經濟環境影響，兩項指標呈現較高之線性相關，而</w:t>
      </w:r>
      <w:r>
        <w:rPr>
          <w:rFonts w:hint="eastAsia"/>
        </w:rPr>
        <w:t xml:space="preserve"> 2023 </w:t>
      </w:r>
      <w:r>
        <w:rPr>
          <w:rFonts w:hint="eastAsia"/>
        </w:rPr>
        <w:t>年至</w:t>
      </w:r>
      <w:r>
        <w:rPr>
          <w:rFonts w:hint="eastAsia"/>
        </w:rPr>
        <w:t xml:space="preserve"> 2025 </w:t>
      </w:r>
      <w:r>
        <w:rPr>
          <w:rFonts w:hint="eastAsia"/>
        </w:rPr>
        <w:t>年之相關係數則介於</w:t>
      </w:r>
      <w:r>
        <w:rPr>
          <w:rFonts w:hint="eastAsia"/>
        </w:rPr>
        <w:t xml:space="preserve"> 0.61 </w:t>
      </w:r>
      <w:r>
        <w:rPr>
          <w:rFonts w:hint="eastAsia"/>
        </w:rPr>
        <w:t>至</w:t>
      </w:r>
      <w:r>
        <w:rPr>
          <w:rFonts w:hint="eastAsia"/>
        </w:rPr>
        <w:t xml:space="preserve"> 0.72 </w:t>
      </w:r>
      <w:proofErr w:type="gramStart"/>
      <w:r>
        <w:rPr>
          <w:rFonts w:hint="eastAsia"/>
        </w:rPr>
        <w:t>之間，</w:t>
      </w:r>
      <w:proofErr w:type="gramEnd"/>
      <w:r>
        <w:rPr>
          <w:rFonts w:hint="eastAsia"/>
        </w:rPr>
        <w:t>顯示不同市場環境下，物價變動與零售市場表現之關聯強度並非固定不變。另一方面，</w:t>
      </w:r>
      <w:r>
        <w:rPr>
          <w:rFonts w:hint="eastAsia"/>
        </w:rPr>
        <w:t xml:space="preserve">2026 </w:t>
      </w:r>
      <w:r>
        <w:rPr>
          <w:rFonts w:hint="eastAsia"/>
        </w:rPr>
        <w:t>年之相關係數因資料期間尚未完整而出現極端數值，亦顯示時間序列分析需考量資料完整性與樣本數量對統計結果之影響</w:t>
      </w:r>
      <w:r>
        <w:fldChar w:fldCharType="begin"/>
      </w:r>
      <w:r>
        <w:instrText xml:space="preserve"> </w:instrText>
      </w:r>
      <w:r>
        <w:rPr>
          <w:rFonts w:hint="eastAsia"/>
        </w:rPr>
        <w:instrText>REF _Ref231313487 \r \h</w:instrText>
      </w:r>
      <w:r>
        <w:instrText xml:space="preserve"> </w:instrText>
      </w:r>
      <w:r>
        <w:fldChar w:fldCharType="separate"/>
      </w:r>
      <w:r>
        <w:t>[</w:t>
      </w:r>
      <w:r w:rsidR="0015449F">
        <w:rPr>
          <w:rFonts w:hint="eastAsia"/>
        </w:rPr>
        <w:t>4</w:t>
      </w:r>
      <w:r>
        <w:t>]</w:t>
      </w:r>
      <w:r>
        <w:fldChar w:fldCharType="end"/>
      </w:r>
      <w:r>
        <w:fldChar w:fldCharType="begin"/>
      </w:r>
      <w:r>
        <w:instrText xml:space="preserve"> REF _Ref231313660 \r \h </w:instrText>
      </w:r>
      <w:r>
        <w:fldChar w:fldCharType="separate"/>
      </w:r>
      <w:r>
        <w:t>[</w:t>
      </w:r>
      <w:r w:rsidR="0015449F">
        <w:rPr>
          <w:rFonts w:hint="eastAsia"/>
        </w:rPr>
        <w:t>5</w:t>
      </w:r>
      <w:r>
        <w:t>]</w:t>
      </w:r>
      <w:r>
        <w:fldChar w:fldCharType="end"/>
      </w:r>
      <w:r>
        <w:rPr>
          <w:rFonts w:hint="eastAsia"/>
        </w:rPr>
        <w:t>。</w:t>
      </w:r>
    </w:p>
    <w:p w14:paraId="42B106DC" w14:textId="77777777" w:rsidR="00A84988" w:rsidRDefault="00A84988" w:rsidP="00A84988">
      <w:pPr>
        <w:pStyle w:val="af0"/>
      </w:pPr>
    </w:p>
    <w:p w14:paraId="1C60F5A6" w14:textId="77777777" w:rsidR="00A84988" w:rsidRDefault="00A84988" w:rsidP="00A84988">
      <w:pPr>
        <w:pStyle w:val="af0"/>
      </w:pPr>
      <w:r>
        <w:rPr>
          <w:rFonts w:hint="eastAsia"/>
        </w:rPr>
        <w:t>在產業結構比較方面，不同零售通路之營業額變化呈現明顯差異。百貨公司、便利商店、超級市場以及電子購物與郵購業之發展趨勢具有不同特徵，其中電子購物與郵購業於近年呈現較明顯之成長現象，顯示不同零售型態受到市場環境與消費模式變化之影響程度並不一致。此結果說明，僅透過整體零售營業額指數進行分析，可能無法完整反映各零售子產業之發展差異。</w:t>
      </w:r>
    </w:p>
    <w:p w14:paraId="4EBC9EF8" w14:textId="77777777" w:rsidR="00A84988" w:rsidRDefault="00A84988" w:rsidP="00A84988">
      <w:pPr>
        <w:pStyle w:val="af0"/>
      </w:pPr>
    </w:p>
    <w:p w14:paraId="352B7CBE" w14:textId="022DF167" w:rsidR="00A84988" w:rsidRDefault="00A84988" w:rsidP="00A84988">
      <w:pPr>
        <w:pStyle w:val="af0"/>
      </w:pPr>
      <w:r>
        <w:rPr>
          <w:rFonts w:hint="eastAsia"/>
        </w:rPr>
        <w:t>進一步</w:t>
      </w:r>
      <w:r w:rsidR="00D559DE">
        <w:rPr>
          <w:rFonts w:hint="eastAsia"/>
        </w:rPr>
        <w:t>透過</w:t>
      </w:r>
      <w:r>
        <w:rPr>
          <w:rFonts w:hint="eastAsia"/>
        </w:rPr>
        <w:t xml:space="preserve"> CPI </w:t>
      </w:r>
      <w:r>
        <w:rPr>
          <w:rFonts w:hint="eastAsia"/>
        </w:rPr>
        <w:t>對名目營業額指數進行價格調整後，可發現近年名目營業額與實質營業額之間逐漸產生差距。此現象代表部分營業額變化可能受到價格水準變動之影響，因此於分析零售市場成長情形時，若僅觀察名目營業額指標，</w:t>
      </w:r>
      <w:r w:rsidR="00D559DE" w:rsidRPr="00D559DE">
        <w:t>可能無法完整反映市場實際變動情形</w:t>
      </w:r>
      <w:r>
        <w:rPr>
          <w:rFonts w:hint="eastAsia"/>
        </w:rPr>
        <w:t>。透過納入</w:t>
      </w:r>
      <w:r>
        <w:rPr>
          <w:rFonts w:hint="eastAsia"/>
        </w:rPr>
        <w:t xml:space="preserve"> CPI </w:t>
      </w:r>
      <w:r>
        <w:rPr>
          <w:rFonts w:hint="eastAsia"/>
        </w:rPr>
        <w:t>修正之實質指標，可提供另一種觀察零售市場變化之分析視角</w:t>
      </w:r>
      <w:r>
        <w:fldChar w:fldCharType="begin"/>
      </w:r>
      <w:r>
        <w:instrText xml:space="preserve"> </w:instrText>
      </w:r>
      <w:r>
        <w:rPr>
          <w:rFonts w:hint="eastAsia"/>
        </w:rPr>
        <w:instrText>REF _Ref231313508 \r \h</w:instrText>
      </w:r>
      <w:r>
        <w:instrText xml:space="preserve"> </w:instrText>
      </w:r>
      <w:r>
        <w:fldChar w:fldCharType="separate"/>
      </w:r>
      <w:r>
        <w:t>[2]</w:t>
      </w:r>
      <w:r>
        <w:fldChar w:fldCharType="end"/>
      </w:r>
      <w:r>
        <w:fldChar w:fldCharType="begin"/>
      </w:r>
      <w:r>
        <w:instrText xml:space="preserve"> REF _Ref231313536 \r \h </w:instrText>
      </w:r>
      <w:r>
        <w:fldChar w:fldCharType="separate"/>
      </w:r>
      <w:r>
        <w:t>[3]</w:t>
      </w:r>
      <w:r>
        <w:fldChar w:fldCharType="end"/>
      </w:r>
      <w:r>
        <w:rPr>
          <w:rFonts w:hint="eastAsia"/>
        </w:rPr>
        <w:t>。</w:t>
      </w:r>
    </w:p>
    <w:p w14:paraId="605D4709" w14:textId="77777777" w:rsidR="00A84988" w:rsidRDefault="00A84988" w:rsidP="00A84988">
      <w:pPr>
        <w:pStyle w:val="af0"/>
      </w:pPr>
    </w:p>
    <w:p w14:paraId="757AFF14" w14:textId="7A72F4E3" w:rsidR="00A84988" w:rsidRDefault="00A84988" w:rsidP="00A84988">
      <w:pPr>
        <w:pStyle w:val="af0"/>
      </w:pPr>
      <w:proofErr w:type="gramStart"/>
      <w:r>
        <w:rPr>
          <w:rFonts w:hint="eastAsia"/>
        </w:rPr>
        <w:t>此外，</w:t>
      </w:r>
      <w:proofErr w:type="gramEnd"/>
      <w:r>
        <w:rPr>
          <w:rFonts w:hint="eastAsia"/>
        </w:rPr>
        <w:t>本研究利用</w:t>
      </w:r>
      <w:r>
        <w:rPr>
          <w:rFonts w:hint="eastAsia"/>
        </w:rPr>
        <w:t xml:space="preserve"> Power BI </w:t>
      </w:r>
      <w:r>
        <w:rPr>
          <w:rFonts w:hint="eastAsia"/>
        </w:rPr>
        <w:t>內建之時間序列預測功能，基於歷史資料之時間變化模式建立未來趨勢估計模型</w:t>
      </w:r>
      <w:r>
        <w:fldChar w:fldCharType="begin"/>
      </w:r>
      <w:r>
        <w:instrText xml:space="preserve"> </w:instrText>
      </w:r>
      <w:r>
        <w:rPr>
          <w:rFonts w:hint="eastAsia"/>
        </w:rPr>
        <w:instrText>REF _Ref231313536 \r \h</w:instrText>
      </w:r>
      <w:r>
        <w:instrText xml:space="preserve"> </w:instrText>
      </w:r>
      <w:r>
        <w:fldChar w:fldCharType="separate"/>
      </w:r>
      <w:r>
        <w:t>[3]</w:t>
      </w:r>
      <w:r>
        <w:fldChar w:fldCharType="end"/>
      </w:r>
      <w:r>
        <w:fldChar w:fldCharType="begin"/>
      </w:r>
      <w:r>
        <w:instrText xml:space="preserve"> REF _Ref231313487 \r \h </w:instrText>
      </w:r>
      <w:r>
        <w:fldChar w:fldCharType="separate"/>
      </w:r>
      <w:r>
        <w:t>[</w:t>
      </w:r>
      <w:r w:rsidR="0015449F">
        <w:rPr>
          <w:rFonts w:hint="eastAsia"/>
        </w:rPr>
        <w:t>4</w:t>
      </w:r>
      <w:r>
        <w:t>]</w:t>
      </w:r>
      <w:r>
        <w:fldChar w:fldCharType="end"/>
      </w:r>
      <w:r>
        <w:rPr>
          <w:rFonts w:hint="eastAsia"/>
        </w:rPr>
        <w:t>。預測結果顯示，零售營業額指數於短期內仍可能維持成長趨勢。然而，時間序列模型主要依賴歷史資料進行推估，未來若受到重大經濟事件、政策調整、國際市場變動或消費行為改變等因素影響，實際結果仍可能與預測產生差異，因此相關預測結果應作為市場趨勢觀察之參考，而非作為絕對判斷依據。</w:t>
      </w:r>
    </w:p>
    <w:p w14:paraId="0A98A82B" w14:textId="77777777" w:rsidR="00A84988" w:rsidRDefault="00A84988" w:rsidP="00A84988">
      <w:pPr>
        <w:pStyle w:val="af0"/>
      </w:pPr>
    </w:p>
    <w:p w14:paraId="1D781D84" w14:textId="5B9C2490" w:rsidR="00A84988" w:rsidRDefault="00A84988" w:rsidP="00A84988">
      <w:pPr>
        <w:pStyle w:val="af0"/>
      </w:pPr>
      <w:r>
        <w:rPr>
          <w:rFonts w:hint="eastAsia"/>
        </w:rPr>
        <w:t>綜合上述分析，本研究透過商業智慧技術與統計分析方法，建立一套結合政府開放資料、資料模型設計、動態度量值計算以及互動式視覺化之零售市場分析流程</w:t>
      </w:r>
      <w:r>
        <w:rPr>
          <w:rFonts w:hint="eastAsia"/>
        </w:rPr>
        <w:t xml:space="preserve"> </w:t>
      </w:r>
      <w:r>
        <w:fldChar w:fldCharType="begin"/>
      </w:r>
      <w:r>
        <w:instrText xml:space="preserve"> </w:instrText>
      </w:r>
      <w:r>
        <w:rPr>
          <w:rFonts w:hint="eastAsia"/>
        </w:rPr>
        <w:instrText>REF _Ref231313536 \r \h</w:instrText>
      </w:r>
      <w:r>
        <w:instrText xml:space="preserve"> </w:instrText>
      </w:r>
      <w:r>
        <w:fldChar w:fldCharType="separate"/>
      </w:r>
      <w:r>
        <w:t>[3]</w:t>
      </w:r>
      <w:r>
        <w:fldChar w:fldCharType="end"/>
      </w:r>
      <w:r>
        <w:fldChar w:fldCharType="begin"/>
      </w:r>
      <w:r>
        <w:instrText xml:space="preserve"> REF _Ref231313523 \r \h </w:instrText>
      </w:r>
      <w:r>
        <w:fldChar w:fldCharType="separate"/>
      </w:r>
      <w:r>
        <w:t>[</w:t>
      </w:r>
      <w:r w:rsidR="0015449F">
        <w:rPr>
          <w:rFonts w:hint="eastAsia"/>
        </w:rPr>
        <w:t>6</w:t>
      </w:r>
      <w:r>
        <w:t>]</w:t>
      </w:r>
      <w:r>
        <w:fldChar w:fldCharType="end"/>
      </w:r>
      <w:r>
        <w:rPr>
          <w:rFonts w:hint="eastAsia"/>
        </w:rPr>
        <w:t>。相較於傳統靜態報表分析方式，此方法可提供不同時間區間與產業類別之彈性觀察能力，提升長期經濟資料之分析效率。</w:t>
      </w:r>
    </w:p>
    <w:p w14:paraId="241104A8" w14:textId="77777777" w:rsidR="00A84988" w:rsidRDefault="00A84988" w:rsidP="00A84988">
      <w:pPr>
        <w:pStyle w:val="af0"/>
      </w:pPr>
    </w:p>
    <w:p w14:paraId="3BEC613F" w14:textId="16F136D8" w:rsidR="00A84988" w:rsidRDefault="00A84988" w:rsidP="00A84988">
      <w:pPr>
        <w:pStyle w:val="af0"/>
      </w:pPr>
      <w:r>
        <w:rPr>
          <w:rFonts w:hint="eastAsia"/>
        </w:rPr>
        <w:lastRenderedPageBreak/>
        <w:t>然而，本研究仍存在若干限制。首先，研究資料主要以零售營業額指數與</w:t>
      </w:r>
      <w:r>
        <w:rPr>
          <w:rFonts w:hint="eastAsia"/>
        </w:rPr>
        <w:t xml:space="preserve"> CPI </w:t>
      </w:r>
      <w:r>
        <w:rPr>
          <w:rFonts w:hint="eastAsia"/>
        </w:rPr>
        <w:t>作為分析基礎，尚未納入所得水準、失業率、人口結構或其他總體經濟變數，因此對於零售市場變化之解釋仍具有一定限制。其次，本研究採用之皮爾森相關分析主要用於衡量線性關係，無法進一步驗證變數之因果關係</w:t>
      </w:r>
      <w:r>
        <w:rPr>
          <w:rFonts w:hint="eastAsia"/>
        </w:rPr>
        <w:t xml:space="preserve"> </w:t>
      </w:r>
      <w:r>
        <w:fldChar w:fldCharType="begin"/>
      </w:r>
      <w:r>
        <w:instrText xml:space="preserve"> </w:instrText>
      </w:r>
      <w:r>
        <w:rPr>
          <w:rFonts w:hint="eastAsia"/>
        </w:rPr>
        <w:instrText>REF _Ref231313660 \r \h</w:instrText>
      </w:r>
      <w:r>
        <w:instrText xml:space="preserve"> </w:instrText>
      </w:r>
      <w:r>
        <w:fldChar w:fldCharType="separate"/>
      </w:r>
      <w:r>
        <w:t>[</w:t>
      </w:r>
      <w:r w:rsidR="0015449F">
        <w:rPr>
          <w:rFonts w:hint="eastAsia"/>
        </w:rPr>
        <w:t>5</w:t>
      </w:r>
      <w:r>
        <w:t>]</w:t>
      </w:r>
      <w:r>
        <w:fldChar w:fldCharType="end"/>
      </w:r>
      <w:r>
        <w:rPr>
          <w:rFonts w:hint="eastAsia"/>
        </w:rPr>
        <w:t>。最後，</w:t>
      </w:r>
      <w:r>
        <w:rPr>
          <w:rFonts w:hint="eastAsia"/>
        </w:rPr>
        <w:t xml:space="preserve">Power BI </w:t>
      </w:r>
      <w:r>
        <w:rPr>
          <w:rFonts w:hint="eastAsia"/>
        </w:rPr>
        <w:t>內建之時間序列預測模型主要依據歷史趨勢進行推估，對於突發性事件所造成之結構性變化可能無法完全反映</w:t>
      </w:r>
      <w:r>
        <w:rPr>
          <w:rFonts w:hint="eastAsia"/>
        </w:rPr>
        <w:t xml:space="preserve"> </w:t>
      </w:r>
      <w:r>
        <w:fldChar w:fldCharType="begin"/>
      </w:r>
      <w:r>
        <w:instrText xml:space="preserve"> </w:instrText>
      </w:r>
      <w:r>
        <w:rPr>
          <w:rFonts w:hint="eastAsia"/>
        </w:rPr>
        <w:instrText>REF _Ref231313487 \r \h</w:instrText>
      </w:r>
      <w:r>
        <w:instrText xml:space="preserve"> </w:instrText>
      </w:r>
      <w:r>
        <w:fldChar w:fldCharType="separate"/>
      </w:r>
      <w:r>
        <w:t>[</w:t>
      </w:r>
      <w:r w:rsidR="0015449F">
        <w:rPr>
          <w:rFonts w:hint="eastAsia"/>
        </w:rPr>
        <w:t>4</w:t>
      </w:r>
      <w:r>
        <w:t>]</w:t>
      </w:r>
      <w:r>
        <w:fldChar w:fldCharType="end"/>
      </w:r>
      <w:r>
        <w:rPr>
          <w:rFonts w:hint="eastAsia"/>
        </w:rPr>
        <w:t>。</w:t>
      </w:r>
    </w:p>
    <w:p w14:paraId="765B7AE9" w14:textId="77777777" w:rsidR="00A84988" w:rsidRDefault="00A84988" w:rsidP="00A84988">
      <w:pPr>
        <w:pStyle w:val="af0"/>
      </w:pPr>
    </w:p>
    <w:p w14:paraId="6BE16DBC" w14:textId="27FA9252" w:rsidR="0000166F" w:rsidRPr="00A84988" w:rsidRDefault="00A84988" w:rsidP="00A84988">
      <w:pPr>
        <w:pStyle w:val="af0"/>
      </w:pPr>
      <w:r>
        <w:rPr>
          <w:rFonts w:hint="eastAsia"/>
        </w:rPr>
        <w:t>因此，未來研究可進一步結合更多總體經濟指標，並導入</w:t>
      </w:r>
      <w:proofErr w:type="gramStart"/>
      <w:r>
        <w:rPr>
          <w:rFonts w:hint="eastAsia"/>
        </w:rPr>
        <w:t>迴</w:t>
      </w:r>
      <w:proofErr w:type="gramEnd"/>
      <w:r>
        <w:rPr>
          <w:rFonts w:hint="eastAsia"/>
        </w:rPr>
        <w:t>歸分析、因果推論模型或更進階之時間序列分析方法，以更全面地探討物價變動與零售市場表現之互動關係</w:t>
      </w:r>
      <w:r>
        <w:rPr>
          <w:rFonts w:hint="eastAsia"/>
        </w:rPr>
        <w:t xml:space="preserve"> </w:t>
      </w:r>
      <w:r>
        <w:fldChar w:fldCharType="begin"/>
      </w:r>
      <w:r>
        <w:instrText xml:space="preserve"> </w:instrText>
      </w:r>
      <w:r>
        <w:rPr>
          <w:rFonts w:hint="eastAsia"/>
        </w:rPr>
        <w:instrText>REF _Ref231313487 \r \h</w:instrText>
      </w:r>
      <w:r>
        <w:instrText xml:space="preserve"> </w:instrText>
      </w:r>
      <w:r>
        <w:fldChar w:fldCharType="separate"/>
      </w:r>
      <w:r>
        <w:t>[</w:t>
      </w:r>
      <w:r w:rsidR="0015449F">
        <w:rPr>
          <w:rFonts w:hint="eastAsia"/>
        </w:rPr>
        <w:t>4</w:t>
      </w:r>
      <w:r>
        <w:t>]</w:t>
      </w:r>
      <w:r>
        <w:fldChar w:fldCharType="end"/>
      </w:r>
      <w:r>
        <w:fldChar w:fldCharType="begin"/>
      </w:r>
      <w:r>
        <w:instrText xml:space="preserve"> REF _Ref231313660 \r \h </w:instrText>
      </w:r>
      <w:r>
        <w:fldChar w:fldCharType="separate"/>
      </w:r>
      <w:r>
        <w:t>[</w:t>
      </w:r>
      <w:r w:rsidR="0015449F">
        <w:rPr>
          <w:rFonts w:hint="eastAsia"/>
        </w:rPr>
        <w:t>5</w:t>
      </w:r>
      <w:r>
        <w:t>]</w:t>
      </w:r>
      <w:r>
        <w:fldChar w:fldCharType="end"/>
      </w:r>
      <w:r>
        <w:rPr>
          <w:rFonts w:hint="eastAsia"/>
        </w:rPr>
        <w:t>。同時，亦可擴大分析範圍至不同零售子產業或不同國家之比較研究，以提升研究結果之解釋能力與應用價值。</w:t>
      </w:r>
    </w:p>
    <w:p w14:paraId="423BB491" w14:textId="77777777" w:rsidR="00E97402" w:rsidRDefault="00A8101C">
      <w:pPr>
        <w:pStyle w:val="ReferenceHead"/>
      </w:pPr>
      <w:r>
        <w:rPr>
          <w:rFonts w:hint="eastAsia"/>
          <w:lang w:eastAsia="zh-TW"/>
        </w:rPr>
        <w:t>參考文獻</w:t>
      </w:r>
    </w:p>
    <w:p w14:paraId="078AEE7A" w14:textId="77777777" w:rsidR="004D4FCD" w:rsidRDefault="004D4FCD" w:rsidP="004D4FCD">
      <w:pPr>
        <w:pStyle w:val="References"/>
        <w:numPr>
          <w:ilvl w:val="0"/>
          <w:numId w:val="19"/>
        </w:numPr>
        <w:jc w:val="left"/>
        <w:rPr>
          <w:lang w:eastAsia="zh-TW"/>
        </w:rPr>
      </w:pPr>
      <w:bookmarkStart w:id="1" w:name="_Ref231313450"/>
      <w:r>
        <w:rPr>
          <w:rFonts w:hint="eastAsia"/>
          <w:lang w:eastAsia="zh-TW"/>
        </w:rPr>
        <w:t>經濟部統計處，「批發、零售及餐飲業營業額指數」，經濟部全球資訊網。</w:t>
      </w:r>
      <w:r>
        <w:rPr>
          <w:rFonts w:hint="eastAsia"/>
          <w:lang w:eastAsia="zh-TW"/>
        </w:rPr>
        <w:t>[</w:t>
      </w:r>
      <w:proofErr w:type="gramStart"/>
      <w:r>
        <w:rPr>
          <w:rFonts w:hint="eastAsia"/>
          <w:lang w:eastAsia="zh-TW"/>
        </w:rPr>
        <w:t>線上</w:t>
      </w:r>
      <w:proofErr w:type="gramEnd"/>
      <w:r>
        <w:rPr>
          <w:rFonts w:hint="eastAsia"/>
          <w:lang w:eastAsia="zh-TW"/>
        </w:rPr>
        <w:t>]</w:t>
      </w:r>
      <w:r>
        <w:rPr>
          <w:rFonts w:hint="eastAsia"/>
          <w:lang w:eastAsia="zh-TW"/>
        </w:rPr>
        <w:t>。來源：</w:t>
      </w:r>
      <w:r>
        <w:rPr>
          <w:rFonts w:hint="eastAsia"/>
          <w:lang w:eastAsia="zh-TW"/>
        </w:rPr>
        <w:t>https://www.moea.gov.tw/MNS/dos/content/ContentLink.aspx?menu_id=9425</w:t>
      </w:r>
      <w:r>
        <w:rPr>
          <w:rFonts w:hint="eastAsia"/>
          <w:lang w:eastAsia="zh-TW"/>
        </w:rPr>
        <w:t>（存取日期：</w:t>
      </w:r>
      <w:r>
        <w:rPr>
          <w:rFonts w:hint="eastAsia"/>
          <w:lang w:eastAsia="zh-TW"/>
        </w:rPr>
        <w:t>2026</w:t>
      </w:r>
      <w:r>
        <w:rPr>
          <w:rFonts w:hint="eastAsia"/>
          <w:lang w:eastAsia="zh-TW"/>
        </w:rPr>
        <w:t>年</w:t>
      </w:r>
      <w:r>
        <w:rPr>
          <w:rFonts w:hint="eastAsia"/>
          <w:lang w:eastAsia="zh-TW"/>
        </w:rPr>
        <w:t>4</w:t>
      </w:r>
      <w:r>
        <w:rPr>
          <w:rFonts w:hint="eastAsia"/>
          <w:lang w:eastAsia="zh-TW"/>
        </w:rPr>
        <w:t>月</w:t>
      </w:r>
      <w:r>
        <w:rPr>
          <w:rFonts w:hint="eastAsia"/>
          <w:lang w:eastAsia="zh-TW"/>
        </w:rPr>
        <w:t>16</w:t>
      </w:r>
      <w:r>
        <w:rPr>
          <w:rFonts w:hint="eastAsia"/>
          <w:lang w:eastAsia="zh-TW"/>
        </w:rPr>
        <w:t>日）。</w:t>
      </w:r>
      <w:bookmarkEnd w:id="1"/>
    </w:p>
    <w:p w14:paraId="77EB82F4" w14:textId="77777777" w:rsidR="004D4FCD" w:rsidRDefault="004D4FCD" w:rsidP="004D4FCD">
      <w:pPr>
        <w:pStyle w:val="References"/>
        <w:numPr>
          <w:ilvl w:val="0"/>
          <w:numId w:val="19"/>
        </w:numPr>
        <w:jc w:val="left"/>
        <w:rPr>
          <w:lang w:eastAsia="zh-TW"/>
        </w:rPr>
      </w:pPr>
      <w:bookmarkStart w:id="2" w:name="_Ref231313508"/>
      <w:r>
        <w:rPr>
          <w:rFonts w:hint="eastAsia"/>
          <w:lang w:eastAsia="zh-TW"/>
        </w:rPr>
        <w:t>行政院主計總處，「消費者物價基本分類指數」，中華民國統計資訊網。</w:t>
      </w:r>
      <w:r>
        <w:rPr>
          <w:rFonts w:hint="eastAsia"/>
          <w:lang w:eastAsia="zh-TW"/>
        </w:rPr>
        <w:t>[</w:t>
      </w:r>
      <w:proofErr w:type="gramStart"/>
      <w:r>
        <w:rPr>
          <w:rFonts w:hint="eastAsia"/>
          <w:lang w:eastAsia="zh-TW"/>
        </w:rPr>
        <w:t>線上</w:t>
      </w:r>
      <w:proofErr w:type="gramEnd"/>
      <w:r>
        <w:rPr>
          <w:rFonts w:hint="eastAsia"/>
          <w:lang w:eastAsia="zh-TW"/>
        </w:rPr>
        <w:t>]</w:t>
      </w:r>
      <w:r>
        <w:rPr>
          <w:rFonts w:hint="eastAsia"/>
          <w:lang w:eastAsia="zh-TW"/>
        </w:rPr>
        <w:t>。來源：</w:t>
      </w:r>
      <w:r>
        <w:rPr>
          <w:rFonts w:hint="eastAsia"/>
          <w:lang w:eastAsia="zh-TW"/>
        </w:rPr>
        <w:t>https://www.stat.gov.tw/cp.aspx?n=2665</w:t>
      </w:r>
      <w:r>
        <w:rPr>
          <w:rFonts w:hint="eastAsia"/>
          <w:lang w:eastAsia="zh-TW"/>
        </w:rPr>
        <w:t>（存取日期：</w:t>
      </w:r>
      <w:r>
        <w:rPr>
          <w:rFonts w:hint="eastAsia"/>
          <w:lang w:eastAsia="zh-TW"/>
        </w:rPr>
        <w:t>2026</w:t>
      </w:r>
      <w:r>
        <w:rPr>
          <w:rFonts w:hint="eastAsia"/>
          <w:lang w:eastAsia="zh-TW"/>
        </w:rPr>
        <w:t>年</w:t>
      </w:r>
      <w:r>
        <w:rPr>
          <w:rFonts w:hint="eastAsia"/>
          <w:lang w:eastAsia="zh-TW"/>
        </w:rPr>
        <w:t>4</w:t>
      </w:r>
      <w:r>
        <w:rPr>
          <w:rFonts w:hint="eastAsia"/>
          <w:lang w:eastAsia="zh-TW"/>
        </w:rPr>
        <w:t>月</w:t>
      </w:r>
      <w:r>
        <w:rPr>
          <w:rFonts w:hint="eastAsia"/>
          <w:lang w:eastAsia="zh-TW"/>
        </w:rPr>
        <w:t>16</w:t>
      </w:r>
      <w:r>
        <w:rPr>
          <w:rFonts w:hint="eastAsia"/>
          <w:lang w:eastAsia="zh-TW"/>
        </w:rPr>
        <w:t>日）。</w:t>
      </w:r>
      <w:bookmarkEnd w:id="2"/>
    </w:p>
    <w:p w14:paraId="210BB32B" w14:textId="77777777" w:rsidR="004D4FCD" w:rsidRDefault="004D4FCD" w:rsidP="004D4FCD">
      <w:pPr>
        <w:pStyle w:val="References"/>
        <w:numPr>
          <w:ilvl w:val="0"/>
          <w:numId w:val="19"/>
        </w:numPr>
        <w:jc w:val="left"/>
        <w:rPr>
          <w:lang w:eastAsia="zh-TW"/>
        </w:rPr>
      </w:pPr>
      <w:bookmarkStart w:id="3" w:name="_Ref231313536"/>
      <w:r>
        <w:rPr>
          <w:rFonts w:hint="eastAsia"/>
          <w:lang w:eastAsia="zh-TW"/>
        </w:rPr>
        <w:t>Microsoft</w:t>
      </w:r>
      <w:r>
        <w:rPr>
          <w:rFonts w:hint="eastAsia"/>
          <w:lang w:eastAsia="zh-TW"/>
        </w:rPr>
        <w:t>，「數據分析表達式（</w:t>
      </w:r>
      <w:r>
        <w:rPr>
          <w:rFonts w:hint="eastAsia"/>
          <w:lang w:eastAsia="zh-TW"/>
        </w:rPr>
        <w:t>DAX</w:t>
      </w:r>
      <w:r>
        <w:rPr>
          <w:rFonts w:hint="eastAsia"/>
          <w:lang w:eastAsia="zh-TW"/>
        </w:rPr>
        <w:t>）參考」，</w:t>
      </w:r>
      <w:r>
        <w:rPr>
          <w:rFonts w:hint="eastAsia"/>
          <w:lang w:eastAsia="zh-TW"/>
        </w:rPr>
        <w:t>Microsoft Learn</w:t>
      </w:r>
      <w:r>
        <w:rPr>
          <w:rFonts w:hint="eastAsia"/>
          <w:lang w:eastAsia="zh-TW"/>
        </w:rPr>
        <w:t>。</w:t>
      </w:r>
      <w:r>
        <w:rPr>
          <w:rFonts w:hint="eastAsia"/>
          <w:lang w:eastAsia="zh-TW"/>
        </w:rPr>
        <w:t>[</w:t>
      </w:r>
      <w:proofErr w:type="gramStart"/>
      <w:r>
        <w:rPr>
          <w:rFonts w:hint="eastAsia"/>
          <w:lang w:eastAsia="zh-TW"/>
        </w:rPr>
        <w:t>線上</w:t>
      </w:r>
      <w:proofErr w:type="gramEnd"/>
      <w:r>
        <w:rPr>
          <w:rFonts w:hint="eastAsia"/>
          <w:lang w:eastAsia="zh-TW"/>
        </w:rPr>
        <w:t>]</w:t>
      </w:r>
      <w:r>
        <w:rPr>
          <w:rFonts w:hint="eastAsia"/>
          <w:lang w:eastAsia="zh-TW"/>
        </w:rPr>
        <w:t>。來源：</w:t>
      </w:r>
      <w:r>
        <w:rPr>
          <w:rFonts w:hint="eastAsia"/>
          <w:lang w:eastAsia="zh-TW"/>
        </w:rPr>
        <w:t>https://learn.microsoft.com/en-us/dax/</w:t>
      </w:r>
      <w:proofErr w:type="gramStart"/>
      <w:r>
        <w:rPr>
          <w:rFonts w:hint="eastAsia"/>
          <w:lang w:eastAsia="zh-TW"/>
        </w:rPr>
        <w:t>（</w:t>
      </w:r>
      <w:proofErr w:type="gramEnd"/>
      <w:r>
        <w:rPr>
          <w:rFonts w:hint="eastAsia"/>
          <w:lang w:eastAsia="zh-TW"/>
        </w:rPr>
        <w:t>存取日期：</w:t>
      </w:r>
      <w:r>
        <w:rPr>
          <w:rFonts w:hint="eastAsia"/>
          <w:lang w:eastAsia="zh-TW"/>
        </w:rPr>
        <w:t>2026</w:t>
      </w:r>
      <w:r>
        <w:rPr>
          <w:rFonts w:hint="eastAsia"/>
          <w:lang w:eastAsia="zh-TW"/>
        </w:rPr>
        <w:t>年</w:t>
      </w:r>
      <w:r>
        <w:rPr>
          <w:rFonts w:hint="eastAsia"/>
          <w:lang w:eastAsia="zh-TW"/>
        </w:rPr>
        <w:t>4</w:t>
      </w:r>
      <w:r>
        <w:rPr>
          <w:rFonts w:hint="eastAsia"/>
          <w:lang w:eastAsia="zh-TW"/>
        </w:rPr>
        <w:t>月</w:t>
      </w:r>
      <w:r>
        <w:rPr>
          <w:rFonts w:hint="eastAsia"/>
          <w:lang w:eastAsia="zh-TW"/>
        </w:rPr>
        <w:t>16</w:t>
      </w:r>
      <w:r>
        <w:rPr>
          <w:rFonts w:hint="eastAsia"/>
          <w:lang w:eastAsia="zh-TW"/>
        </w:rPr>
        <w:t>日</w:t>
      </w:r>
      <w:proofErr w:type="gramStart"/>
      <w:r>
        <w:rPr>
          <w:rFonts w:hint="eastAsia"/>
          <w:lang w:eastAsia="zh-TW"/>
        </w:rPr>
        <w:t>）</w:t>
      </w:r>
      <w:proofErr w:type="gramEnd"/>
      <w:r>
        <w:rPr>
          <w:rFonts w:hint="eastAsia"/>
          <w:lang w:eastAsia="zh-TW"/>
        </w:rPr>
        <w:t>。</w:t>
      </w:r>
      <w:bookmarkEnd w:id="3"/>
    </w:p>
    <w:p w14:paraId="6D1872E3" w14:textId="77777777" w:rsidR="004D4FCD" w:rsidRDefault="004D4FCD" w:rsidP="004D4FCD">
      <w:pPr>
        <w:pStyle w:val="References"/>
        <w:numPr>
          <w:ilvl w:val="0"/>
          <w:numId w:val="19"/>
        </w:numPr>
        <w:jc w:val="left"/>
        <w:rPr>
          <w:lang w:eastAsia="zh-TW"/>
        </w:rPr>
      </w:pPr>
      <w:bookmarkStart w:id="4" w:name="_Ref231313487"/>
      <w:r>
        <w:rPr>
          <w:rFonts w:hint="eastAsia"/>
          <w:lang w:eastAsia="zh-TW"/>
        </w:rPr>
        <w:t>楊奕農，</w:t>
      </w:r>
      <w:proofErr w:type="gramStart"/>
      <w:r>
        <w:rPr>
          <w:rFonts w:hint="eastAsia"/>
          <w:lang w:eastAsia="zh-TW"/>
        </w:rPr>
        <w:t>《</w:t>
      </w:r>
      <w:proofErr w:type="gramEnd"/>
      <w:r>
        <w:rPr>
          <w:rFonts w:hint="eastAsia"/>
          <w:lang w:eastAsia="zh-TW"/>
        </w:rPr>
        <w:t>時間序列分析：經濟與財務上之應用</w:t>
      </w:r>
      <w:proofErr w:type="gramStart"/>
      <w:r>
        <w:rPr>
          <w:rFonts w:hint="eastAsia"/>
          <w:lang w:eastAsia="zh-TW"/>
        </w:rPr>
        <w:t>》</w:t>
      </w:r>
      <w:proofErr w:type="gramEnd"/>
      <w:r>
        <w:rPr>
          <w:rFonts w:hint="eastAsia"/>
          <w:lang w:eastAsia="zh-TW"/>
        </w:rPr>
        <w:t>。台北：</w:t>
      </w:r>
      <w:proofErr w:type="gramStart"/>
      <w:r>
        <w:rPr>
          <w:rFonts w:hint="eastAsia"/>
          <w:lang w:eastAsia="zh-TW"/>
        </w:rPr>
        <w:t>雙葉書廊</w:t>
      </w:r>
      <w:proofErr w:type="gramEnd"/>
      <w:r>
        <w:rPr>
          <w:rFonts w:hint="eastAsia"/>
          <w:lang w:eastAsia="zh-TW"/>
        </w:rPr>
        <w:t>，</w:t>
      </w:r>
      <w:r>
        <w:rPr>
          <w:rFonts w:hint="eastAsia"/>
          <w:lang w:eastAsia="zh-TW"/>
        </w:rPr>
        <w:t>2005</w:t>
      </w:r>
      <w:r>
        <w:rPr>
          <w:rFonts w:hint="eastAsia"/>
          <w:lang w:eastAsia="zh-TW"/>
        </w:rPr>
        <w:t>。</w:t>
      </w:r>
      <w:bookmarkEnd w:id="4"/>
    </w:p>
    <w:p w14:paraId="5DFC5BA2" w14:textId="77777777" w:rsidR="004D4FCD" w:rsidRDefault="004D4FCD" w:rsidP="004D4FCD">
      <w:pPr>
        <w:pStyle w:val="References"/>
        <w:numPr>
          <w:ilvl w:val="0"/>
          <w:numId w:val="19"/>
        </w:numPr>
        <w:jc w:val="left"/>
        <w:rPr>
          <w:lang w:eastAsia="zh-TW"/>
        </w:rPr>
      </w:pPr>
      <w:bookmarkStart w:id="5" w:name="_Ref231313660"/>
      <w:r>
        <w:rPr>
          <w:rFonts w:hint="eastAsia"/>
          <w:lang w:eastAsia="zh-TW"/>
        </w:rPr>
        <w:t>林惠玲、陳正倉，</w:t>
      </w:r>
      <w:proofErr w:type="gramStart"/>
      <w:r>
        <w:rPr>
          <w:rFonts w:hint="eastAsia"/>
          <w:lang w:eastAsia="zh-TW"/>
        </w:rPr>
        <w:t>《</w:t>
      </w:r>
      <w:proofErr w:type="gramEnd"/>
      <w:r>
        <w:rPr>
          <w:rFonts w:hint="eastAsia"/>
          <w:lang w:eastAsia="zh-TW"/>
        </w:rPr>
        <w:t>統計學：方法與應用</w:t>
      </w:r>
      <w:proofErr w:type="gramStart"/>
      <w:r>
        <w:rPr>
          <w:rFonts w:hint="eastAsia"/>
          <w:lang w:eastAsia="zh-TW"/>
        </w:rPr>
        <w:t>》</w:t>
      </w:r>
      <w:proofErr w:type="gramEnd"/>
      <w:r>
        <w:rPr>
          <w:rFonts w:hint="eastAsia"/>
          <w:lang w:eastAsia="zh-TW"/>
        </w:rPr>
        <w:t>，第</w:t>
      </w:r>
      <w:r>
        <w:rPr>
          <w:rFonts w:hint="eastAsia"/>
          <w:lang w:eastAsia="zh-TW"/>
        </w:rPr>
        <w:t>2</w:t>
      </w:r>
      <w:r>
        <w:rPr>
          <w:rFonts w:hint="eastAsia"/>
          <w:lang w:eastAsia="zh-TW"/>
        </w:rPr>
        <w:t>版。台北：</w:t>
      </w:r>
      <w:proofErr w:type="gramStart"/>
      <w:r>
        <w:rPr>
          <w:rFonts w:hint="eastAsia"/>
          <w:lang w:eastAsia="zh-TW"/>
        </w:rPr>
        <w:t>雙葉書廊</w:t>
      </w:r>
      <w:proofErr w:type="gramEnd"/>
      <w:r>
        <w:rPr>
          <w:rFonts w:hint="eastAsia"/>
          <w:lang w:eastAsia="zh-TW"/>
        </w:rPr>
        <w:t>，</w:t>
      </w:r>
      <w:r>
        <w:rPr>
          <w:rFonts w:hint="eastAsia"/>
          <w:lang w:eastAsia="zh-TW"/>
        </w:rPr>
        <w:t>2001</w:t>
      </w:r>
      <w:r>
        <w:rPr>
          <w:rFonts w:hint="eastAsia"/>
          <w:lang w:eastAsia="zh-TW"/>
        </w:rPr>
        <w:t>。</w:t>
      </w:r>
      <w:bookmarkEnd w:id="5"/>
    </w:p>
    <w:p w14:paraId="355448B8" w14:textId="77777777" w:rsidR="00C7488E" w:rsidRDefault="00C7488E" w:rsidP="004D4FCD">
      <w:pPr>
        <w:pStyle w:val="References"/>
        <w:numPr>
          <w:ilvl w:val="0"/>
          <w:numId w:val="19"/>
        </w:numPr>
        <w:jc w:val="left"/>
        <w:rPr>
          <w:lang w:eastAsia="zh-TW"/>
        </w:rPr>
      </w:pPr>
      <w:bookmarkStart w:id="6" w:name="_Ref231313523"/>
      <w:r w:rsidRPr="00C7488E">
        <w:rPr>
          <w:rFonts w:hint="eastAsia"/>
          <w:lang w:eastAsia="zh-TW"/>
        </w:rPr>
        <w:t>王銘正，《商業智慧與資料分析》。台北：全華圖書，</w:t>
      </w:r>
      <w:r w:rsidRPr="00C7488E">
        <w:rPr>
          <w:rFonts w:hint="eastAsia"/>
          <w:lang w:eastAsia="zh-TW"/>
        </w:rPr>
        <w:t>2018</w:t>
      </w:r>
      <w:r w:rsidRPr="00C7488E">
        <w:rPr>
          <w:rFonts w:hint="eastAsia"/>
          <w:lang w:eastAsia="zh-TW"/>
        </w:rPr>
        <w:t>。</w:t>
      </w:r>
      <w:bookmarkEnd w:id="6"/>
    </w:p>
    <w:sectPr w:rsidR="00C7488E">
      <w:headerReference w:type="default" r:id="rId13"/>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66F76" w14:textId="77777777" w:rsidR="008D2D0E" w:rsidRDefault="008D2D0E">
      <w:r>
        <w:separator/>
      </w:r>
    </w:p>
  </w:endnote>
  <w:endnote w:type="continuationSeparator" w:id="0">
    <w:p w14:paraId="3094A2AF" w14:textId="77777777" w:rsidR="008D2D0E" w:rsidRDefault="008D2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Baskerville">
    <w:altName w:val="Courier New"/>
    <w:charset w:val="00"/>
    <w:family w:val="auto"/>
    <w:pitch w:val="variable"/>
    <w:sig w:usb0="03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128A2" w14:textId="77777777" w:rsidR="008D2D0E" w:rsidRDefault="008D2D0E"/>
  </w:footnote>
  <w:footnote w:type="continuationSeparator" w:id="0">
    <w:p w14:paraId="5EFA1FB6" w14:textId="77777777" w:rsidR="008D2D0E" w:rsidRDefault="008D2D0E">
      <w:r>
        <w:continuationSeparator/>
      </w:r>
    </w:p>
  </w:footnote>
  <w:footnote w:id="1">
    <w:p w14:paraId="36B81CEC" w14:textId="77777777" w:rsidR="004C3C8A" w:rsidRDefault="004C3C8A" w:rsidP="00C756E8">
      <w:pPr>
        <w:pStyle w:val="a4"/>
        <w:ind w:firstLine="0"/>
        <w:rPr>
          <w:lang w:eastAsia="zh-TW"/>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82BE8" w14:textId="77777777" w:rsidR="00E97402" w:rsidRDefault="00E97402">
    <w:pPr>
      <w:framePr w:wrap="auto" w:vAnchor="text" w:hAnchor="margin" w:xAlign="right" w:y="1"/>
    </w:pPr>
    <w:r>
      <w:fldChar w:fldCharType="begin"/>
    </w:r>
    <w:r>
      <w:instrText xml:space="preserve">PAGE  </w:instrText>
    </w:r>
    <w:r>
      <w:fldChar w:fldCharType="separate"/>
    </w:r>
    <w:r w:rsidR="00E41DCB">
      <w:rPr>
        <w:noProof/>
      </w:rPr>
      <w:t>6</w:t>
    </w:r>
    <w:r>
      <w:fldChar w:fldCharType="end"/>
    </w:r>
  </w:p>
  <w:p w14:paraId="5DA9540C" w14:textId="77777777" w:rsidR="00E97402" w:rsidRDefault="00E97402">
    <w:pPr>
      <w:ind w:right="360"/>
    </w:pPr>
    <w:r>
      <w:t>&gt;</w:t>
    </w:r>
    <w:r w:rsidR="00EA7D6A" w:rsidRPr="00EA7D6A">
      <w:rPr>
        <w:rFonts w:ascii="標楷體" w:hAnsi="標楷體" w:hint="eastAsia"/>
        <w:lang w:eastAsia="zh-TW"/>
      </w:rPr>
      <w:t>商業智慧</w:t>
    </w:r>
    <w:r w:rsidR="00EA7D6A">
      <w:rPr>
        <w:rFonts w:ascii="標楷體" w:hAnsi="標楷體" w:hint="eastAsia"/>
        <w:lang w:eastAsia="zh-TW"/>
      </w:rPr>
      <w:t xml:space="preserve"> </w:t>
    </w:r>
    <w:r w:rsidR="00EA7D6A" w:rsidRPr="00EA7D6A">
      <w:rPr>
        <w:rFonts w:ascii="標楷體" w:hAnsi="標楷體" w:hint="eastAsia"/>
        <w:lang w:eastAsia="zh-TW"/>
      </w:rPr>
      <w:t>期中</w:t>
    </w:r>
    <w:r w:rsidR="00EA7D6A">
      <w:rPr>
        <w:rFonts w:ascii="標楷體" w:hAnsi="標楷體" w:hint="eastAsia"/>
        <w:lang w:eastAsia="zh-TW"/>
      </w:rPr>
      <w:t>計畫</w:t>
    </w:r>
    <w:r>
      <w:t>&lt;</w:t>
    </w:r>
  </w:p>
  <w:p w14:paraId="440A385C" w14:textId="77777777" w:rsidR="00E97402" w:rsidRDefault="00E97402">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lvl>
    <w:lvl w:ilvl="2">
      <w:start w:val="1"/>
      <w:numFmt w:val="decimal"/>
      <w:pStyle w:val="3"/>
      <w:lvlText w:val="%3)"/>
      <w:legacy w:legacy="1" w:legacySpace="144" w:legacyIndent="144"/>
      <w:lvlJc w:val="left"/>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 w15:restartNumberingAfterBreak="0">
    <w:nsid w:val="0B9A4019"/>
    <w:multiLevelType w:val="hybridMultilevel"/>
    <w:tmpl w:val="850A6A48"/>
    <w:lvl w:ilvl="0" w:tplc="C2085CAC">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2" w15:restartNumberingAfterBreak="0">
    <w:nsid w:val="12FF6759"/>
    <w:multiLevelType w:val="hybridMultilevel"/>
    <w:tmpl w:val="F5568F4A"/>
    <w:lvl w:ilvl="0" w:tplc="1ABE6BD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4" w15:restartNumberingAfterBreak="0">
    <w:nsid w:val="20547E74"/>
    <w:multiLevelType w:val="hybridMultilevel"/>
    <w:tmpl w:val="BB5E93A8"/>
    <w:lvl w:ilvl="0" w:tplc="1DEAEF58">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6"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8" w15:restartNumberingAfterBreak="0">
    <w:nsid w:val="38D32C41"/>
    <w:multiLevelType w:val="hybridMultilevel"/>
    <w:tmpl w:val="D12AD65E"/>
    <w:lvl w:ilvl="0" w:tplc="E40401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16C7BD7"/>
    <w:multiLevelType w:val="hybridMultilevel"/>
    <w:tmpl w:val="0AAA72A2"/>
    <w:lvl w:ilvl="0" w:tplc="D4068C3A">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12" w15:restartNumberingAfterBreak="0">
    <w:nsid w:val="43DF05A5"/>
    <w:multiLevelType w:val="hybridMultilevel"/>
    <w:tmpl w:val="62F23D9E"/>
    <w:lvl w:ilvl="0" w:tplc="3C12E6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63D06AFD"/>
    <w:multiLevelType w:val="hybridMultilevel"/>
    <w:tmpl w:val="C684354C"/>
    <w:lvl w:ilvl="0" w:tplc="54A8038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4427946"/>
    <w:multiLevelType w:val="hybridMultilevel"/>
    <w:tmpl w:val="FBE071A2"/>
    <w:lvl w:ilvl="0" w:tplc="7212855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548179690">
    <w:abstractNumId w:val="0"/>
  </w:num>
  <w:num w:numId="2" w16cid:durableId="1136022031">
    <w:abstractNumId w:val="7"/>
  </w:num>
  <w:num w:numId="3" w16cid:durableId="1067921318">
    <w:abstractNumId w:val="7"/>
    <w:lvlOverride w:ilvl="0">
      <w:lvl w:ilvl="0">
        <w:start w:val="1"/>
        <w:numFmt w:val="decimal"/>
        <w:lvlText w:val="%1."/>
        <w:legacy w:legacy="1" w:legacySpace="0" w:legacyIndent="360"/>
        <w:lvlJc w:val="left"/>
        <w:pPr>
          <w:ind w:left="360" w:hanging="360"/>
        </w:pPr>
      </w:lvl>
    </w:lvlOverride>
  </w:num>
  <w:num w:numId="4" w16cid:durableId="908803625">
    <w:abstractNumId w:val="7"/>
    <w:lvlOverride w:ilvl="0">
      <w:lvl w:ilvl="0">
        <w:start w:val="1"/>
        <w:numFmt w:val="decimal"/>
        <w:lvlText w:val="%1."/>
        <w:legacy w:legacy="1" w:legacySpace="0" w:legacyIndent="360"/>
        <w:lvlJc w:val="left"/>
        <w:pPr>
          <w:ind w:left="360" w:hanging="360"/>
        </w:pPr>
      </w:lvl>
    </w:lvlOverride>
  </w:num>
  <w:num w:numId="5" w16cid:durableId="1747338036">
    <w:abstractNumId w:val="7"/>
    <w:lvlOverride w:ilvl="0">
      <w:lvl w:ilvl="0">
        <w:start w:val="1"/>
        <w:numFmt w:val="decimal"/>
        <w:lvlText w:val="%1."/>
        <w:legacy w:legacy="1" w:legacySpace="0" w:legacyIndent="360"/>
        <w:lvlJc w:val="left"/>
        <w:pPr>
          <w:ind w:left="360" w:hanging="360"/>
        </w:pPr>
      </w:lvl>
    </w:lvlOverride>
  </w:num>
  <w:num w:numId="6" w16cid:durableId="1641879695">
    <w:abstractNumId w:val="13"/>
  </w:num>
  <w:num w:numId="7" w16cid:durableId="1711759569">
    <w:abstractNumId w:val="13"/>
    <w:lvlOverride w:ilvl="0">
      <w:lvl w:ilvl="0">
        <w:start w:val="1"/>
        <w:numFmt w:val="decimal"/>
        <w:lvlText w:val="%1."/>
        <w:legacy w:legacy="1" w:legacySpace="0" w:legacyIndent="360"/>
        <w:lvlJc w:val="left"/>
        <w:pPr>
          <w:ind w:left="360" w:hanging="360"/>
        </w:pPr>
      </w:lvl>
    </w:lvlOverride>
  </w:num>
  <w:num w:numId="8" w16cid:durableId="243496244">
    <w:abstractNumId w:val="13"/>
    <w:lvlOverride w:ilvl="0">
      <w:lvl w:ilvl="0">
        <w:start w:val="1"/>
        <w:numFmt w:val="decimal"/>
        <w:lvlText w:val="%1."/>
        <w:legacy w:legacy="1" w:legacySpace="0" w:legacyIndent="360"/>
        <w:lvlJc w:val="left"/>
        <w:pPr>
          <w:ind w:left="360" w:hanging="360"/>
        </w:pPr>
      </w:lvl>
    </w:lvlOverride>
  </w:num>
  <w:num w:numId="9" w16cid:durableId="567033010">
    <w:abstractNumId w:val="13"/>
    <w:lvlOverride w:ilvl="0">
      <w:lvl w:ilvl="0">
        <w:start w:val="1"/>
        <w:numFmt w:val="decimal"/>
        <w:lvlText w:val="%1."/>
        <w:legacy w:legacy="1" w:legacySpace="0" w:legacyIndent="360"/>
        <w:lvlJc w:val="left"/>
        <w:pPr>
          <w:ind w:left="360" w:hanging="360"/>
        </w:pPr>
      </w:lvl>
    </w:lvlOverride>
  </w:num>
  <w:num w:numId="10" w16cid:durableId="1268850912">
    <w:abstractNumId w:val="13"/>
    <w:lvlOverride w:ilvl="0">
      <w:lvl w:ilvl="0">
        <w:start w:val="1"/>
        <w:numFmt w:val="decimal"/>
        <w:lvlText w:val="%1."/>
        <w:legacy w:legacy="1" w:legacySpace="0" w:legacyIndent="360"/>
        <w:lvlJc w:val="left"/>
        <w:pPr>
          <w:ind w:left="360" w:hanging="360"/>
        </w:pPr>
      </w:lvl>
    </w:lvlOverride>
  </w:num>
  <w:num w:numId="11" w16cid:durableId="1517772349">
    <w:abstractNumId w:val="13"/>
    <w:lvlOverride w:ilvl="0">
      <w:lvl w:ilvl="0">
        <w:start w:val="1"/>
        <w:numFmt w:val="decimal"/>
        <w:lvlText w:val="%1."/>
        <w:legacy w:legacy="1" w:legacySpace="0" w:legacyIndent="360"/>
        <w:lvlJc w:val="left"/>
        <w:pPr>
          <w:ind w:left="360" w:hanging="360"/>
        </w:pPr>
      </w:lvl>
    </w:lvlOverride>
  </w:num>
  <w:num w:numId="12" w16cid:durableId="73860226">
    <w:abstractNumId w:val="9"/>
  </w:num>
  <w:num w:numId="13" w16cid:durableId="264776745">
    <w:abstractNumId w:val="3"/>
  </w:num>
  <w:num w:numId="14" w16cid:durableId="1408115653">
    <w:abstractNumId w:val="15"/>
  </w:num>
  <w:num w:numId="15" w16cid:durableId="2042975429">
    <w:abstractNumId w:val="14"/>
  </w:num>
  <w:num w:numId="16" w16cid:durableId="1592156627">
    <w:abstractNumId w:val="19"/>
  </w:num>
  <w:num w:numId="17" w16cid:durableId="911089663">
    <w:abstractNumId w:val="6"/>
  </w:num>
  <w:num w:numId="18" w16cid:durableId="990712751">
    <w:abstractNumId w:val="5"/>
  </w:num>
  <w:num w:numId="19" w16cid:durableId="1535771129">
    <w:abstractNumId w:val="18"/>
  </w:num>
  <w:num w:numId="20" w16cid:durableId="1442335227">
    <w:abstractNumId w:val="10"/>
  </w:num>
  <w:num w:numId="21" w16cid:durableId="1651979597">
    <w:abstractNumId w:val="4"/>
  </w:num>
  <w:num w:numId="22" w16cid:durableId="427124003">
    <w:abstractNumId w:val="11"/>
  </w:num>
  <w:num w:numId="23" w16cid:durableId="1018309129">
    <w:abstractNumId w:val="1"/>
  </w:num>
  <w:num w:numId="24" w16cid:durableId="1272665124">
    <w:abstractNumId w:val="17"/>
  </w:num>
  <w:num w:numId="25" w16cid:durableId="553276394">
    <w:abstractNumId w:val="16"/>
  </w:num>
  <w:num w:numId="26" w16cid:durableId="1863742872">
    <w:abstractNumId w:val="2"/>
  </w:num>
  <w:num w:numId="27" w16cid:durableId="671298003">
    <w:abstractNumId w:val="12"/>
  </w:num>
  <w:num w:numId="28" w16cid:durableId="7528978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B"/>
    <w:rsid w:val="0000013C"/>
    <w:rsid w:val="0000166F"/>
    <w:rsid w:val="00004162"/>
    <w:rsid w:val="00006B82"/>
    <w:rsid w:val="00031C3A"/>
    <w:rsid w:val="000612C2"/>
    <w:rsid w:val="00076FF9"/>
    <w:rsid w:val="000C7C7F"/>
    <w:rsid w:val="000D314D"/>
    <w:rsid w:val="000D60EF"/>
    <w:rsid w:val="000E347E"/>
    <w:rsid w:val="000E5746"/>
    <w:rsid w:val="000F3CE2"/>
    <w:rsid w:val="001061D6"/>
    <w:rsid w:val="00112C70"/>
    <w:rsid w:val="001333E5"/>
    <w:rsid w:val="00134243"/>
    <w:rsid w:val="00144E72"/>
    <w:rsid w:val="0015449F"/>
    <w:rsid w:val="00170AC2"/>
    <w:rsid w:val="001744FC"/>
    <w:rsid w:val="0018302C"/>
    <w:rsid w:val="0019758C"/>
    <w:rsid w:val="001A3D57"/>
    <w:rsid w:val="001A4CE7"/>
    <w:rsid w:val="001C4994"/>
    <w:rsid w:val="001C6B99"/>
    <w:rsid w:val="001C71D2"/>
    <w:rsid w:val="001D03BB"/>
    <w:rsid w:val="001D2180"/>
    <w:rsid w:val="001E78FB"/>
    <w:rsid w:val="00200B01"/>
    <w:rsid w:val="00206BDF"/>
    <w:rsid w:val="002113AE"/>
    <w:rsid w:val="00233FF9"/>
    <w:rsid w:val="002434A1"/>
    <w:rsid w:val="00243A9F"/>
    <w:rsid w:val="002614A4"/>
    <w:rsid w:val="00266A6A"/>
    <w:rsid w:val="00272143"/>
    <w:rsid w:val="002725AF"/>
    <w:rsid w:val="002805D1"/>
    <w:rsid w:val="00281B52"/>
    <w:rsid w:val="0029575C"/>
    <w:rsid w:val="002B315E"/>
    <w:rsid w:val="002C0450"/>
    <w:rsid w:val="002C4845"/>
    <w:rsid w:val="002C6876"/>
    <w:rsid w:val="002D677C"/>
    <w:rsid w:val="002E5D01"/>
    <w:rsid w:val="00343AAE"/>
    <w:rsid w:val="00360269"/>
    <w:rsid w:val="0036254E"/>
    <w:rsid w:val="0037336E"/>
    <w:rsid w:val="003772B0"/>
    <w:rsid w:val="00380E59"/>
    <w:rsid w:val="00386BDC"/>
    <w:rsid w:val="00395533"/>
    <w:rsid w:val="003973CD"/>
    <w:rsid w:val="003A1427"/>
    <w:rsid w:val="003C13FA"/>
    <w:rsid w:val="003D4A73"/>
    <w:rsid w:val="00411BA7"/>
    <w:rsid w:val="0043144F"/>
    <w:rsid w:val="00431BFA"/>
    <w:rsid w:val="004415CA"/>
    <w:rsid w:val="00442C31"/>
    <w:rsid w:val="0044696F"/>
    <w:rsid w:val="00457927"/>
    <w:rsid w:val="00462576"/>
    <w:rsid w:val="004631BC"/>
    <w:rsid w:val="00480C70"/>
    <w:rsid w:val="004A567F"/>
    <w:rsid w:val="004B2632"/>
    <w:rsid w:val="004B2F41"/>
    <w:rsid w:val="004C1E16"/>
    <w:rsid w:val="004C3C8A"/>
    <w:rsid w:val="004D4FCD"/>
    <w:rsid w:val="004F7016"/>
    <w:rsid w:val="00501411"/>
    <w:rsid w:val="00512F6C"/>
    <w:rsid w:val="005324A8"/>
    <w:rsid w:val="00540AA5"/>
    <w:rsid w:val="0055075D"/>
    <w:rsid w:val="00551D93"/>
    <w:rsid w:val="0059180A"/>
    <w:rsid w:val="005A1963"/>
    <w:rsid w:val="005A1E2D"/>
    <w:rsid w:val="005A2A15"/>
    <w:rsid w:val="005A336B"/>
    <w:rsid w:val="005C6B38"/>
    <w:rsid w:val="005F07C4"/>
    <w:rsid w:val="005F30D8"/>
    <w:rsid w:val="0060265E"/>
    <w:rsid w:val="00621BFA"/>
    <w:rsid w:val="00622AD2"/>
    <w:rsid w:val="00624259"/>
    <w:rsid w:val="00625E96"/>
    <w:rsid w:val="00650773"/>
    <w:rsid w:val="006857F7"/>
    <w:rsid w:val="0069531D"/>
    <w:rsid w:val="006A0A43"/>
    <w:rsid w:val="006A2181"/>
    <w:rsid w:val="006B5C6C"/>
    <w:rsid w:val="006D1ABE"/>
    <w:rsid w:val="006F59EE"/>
    <w:rsid w:val="00733A7B"/>
    <w:rsid w:val="007676AC"/>
    <w:rsid w:val="00770B7A"/>
    <w:rsid w:val="00780D40"/>
    <w:rsid w:val="007B4627"/>
    <w:rsid w:val="007B5D59"/>
    <w:rsid w:val="007B6247"/>
    <w:rsid w:val="007C4336"/>
    <w:rsid w:val="007E71A2"/>
    <w:rsid w:val="007F21A2"/>
    <w:rsid w:val="0080349B"/>
    <w:rsid w:val="00857425"/>
    <w:rsid w:val="008672A6"/>
    <w:rsid w:val="0087792E"/>
    <w:rsid w:val="00886D83"/>
    <w:rsid w:val="00895CD3"/>
    <w:rsid w:val="008B09B6"/>
    <w:rsid w:val="008D2D0E"/>
    <w:rsid w:val="008E7414"/>
    <w:rsid w:val="008E7C77"/>
    <w:rsid w:val="008F7071"/>
    <w:rsid w:val="0091035B"/>
    <w:rsid w:val="00932BEC"/>
    <w:rsid w:val="00936F53"/>
    <w:rsid w:val="009444F2"/>
    <w:rsid w:val="00945D89"/>
    <w:rsid w:val="00962211"/>
    <w:rsid w:val="009765E5"/>
    <w:rsid w:val="009849FC"/>
    <w:rsid w:val="009859F1"/>
    <w:rsid w:val="00987530"/>
    <w:rsid w:val="009C1D99"/>
    <w:rsid w:val="009C35C9"/>
    <w:rsid w:val="009D1DA9"/>
    <w:rsid w:val="009D43DA"/>
    <w:rsid w:val="009D4C57"/>
    <w:rsid w:val="009E66CB"/>
    <w:rsid w:val="009F410E"/>
    <w:rsid w:val="009F484E"/>
    <w:rsid w:val="00A0730C"/>
    <w:rsid w:val="00A3739C"/>
    <w:rsid w:val="00A520C9"/>
    <w:rsid w:val="00A6200E"/>
    <w:rsid w:val="00A8101C"/>
    <w:rsid w:val="00A84988"/>
    <w:rsid w:val="00A878F2"/>
    <w:rsid w:val="00AB0D5B"/>
    <w:rsid w:val="00B21803"/>
    <w:rsid w:val="00B429CF"/>
    <w:rsid w:val="00B571CD"/>
    <w:rsid w:val="00B66ED0"/>
    <w:rsid w:val="00B75B82"/>
    <w:rsid w:val="00B86CAF"/>
    <w:rsid w:val="00BB6CCF"/>
    <w:rsid w:val="00BC6218"/>
    <w:rsid w:val="00BD0B30"/>
    <w:rsid w:val="00BD1A3F"/>
    <w:rsid w:val="00BD58BD"/>
    <w:rsid w:val="00BD7199"/>
    <w:rsid w:val="00BE6FBC"/>
    <w:rsid w:val="00BF0064"/>
    <w:rsid w:val="00C31F1A"/>
    <w:rsid w:val="00C362E6"/>
    <w:rsid w:val="00C7488E"/>
    <w:rsid w:val="00C756E8"/>
    <w:rsid w:val="00CB4B8D"/>
    <w:rsid w:val="00CD3D60"/>
    <w:rsid w:val="00CF1CE5"/>
    <w:rsid w:val="00D140E7"/>
    <w:rsid w:val="00D4154A"/>
    <w:rsid w:val="00D502DB"/>
    <w:rsid w:val="00D559DE"/>
    <w:rsid w:val="00D56935"/>
    <w:rsid w:val="00D758C6"/>
    <w:rsid w:val="00D80F43"/>
    <w:rsid w:val="00D844E8"/>
    <w:rsid w:val="00D852D9"/>
    <w:rsid w:val="00DA3AA0"/>
    <w:rsid w:val="00DC2210"/>
    <w:rsid w:val="00DC3155"/>
    <w:rsid w:val="00DC4785"/>
    <w:rsid w:val="00DC647A"/>
    <w:rsid w:val="00DD17C8"/>
    <w:rsid w:val="00DF2DDE"/>
    <w:rsid w:val="00DF7C01"/>
    <w:rsid w:val="00E14B35"/>
    <w:rsid w:val="00E2131C"/>
    <w:rsid w:val="00E24F10"/>
    <w:rsid w:val="00E41DCB"/>
    <w:rsid w:val="00E4432A"/>
    <w:rsid w:val="00E50DF6"/>
    <w:rsid w:val="00E50F01"/>
    <w:rsid w:val="00E54A7B"/>
    <w:rsid w:val="00E80497"/>
    <w:rsid w:val="00E867CD"/>
    <w:rsid w:val="00E97402"/>
    <w:rsid w:val="00EA7D6A"/>
    <w:rsid w:val="00EB2D67"/>
    <w:rsid w:val="00EC1926"/>
    <w:rsid w:val="00EC1BBD"/>
    <w:rsid w:val="00F00258"/>
    <w:rsid w:val="00F341E0"/>
    <w:rsid w:val="00F36BBD"/>
    <w:rsid w:val="00F64139"/>
    <w:rsid w:val="00F65266"/>
    <w:rsid w:val="00F67D5F"/>
    <w:rsid w:val="00F8234B"/>
    <w:rsid w:val="00FA6B07"/>
    <w:rsid w:val="00FB607B"/>
    <w:rsid w:val="00FD7D4D"/>
    <w:rsid w:val="00FF6B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EB746C"/>
  <w15:chartTrackingRefBased/>
  <w15:docId w15:val="{B0330A02-06AC-4806-816F-EA4770B06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647A"/>
    <w:pPr>
      <w:autoSpaceDE w:val="0"/>
      <w:autoSpaceDN w:val="0"/>
      <w:jc w:val="both"/>
    </w:pPr>
    <w:rPr>
      <w:rFonts w:eastAsia="標楷體"/>
      <w:lang w:eastAsia="en-US"/>
    </w:rPr>
  </w:style>
  <w:style w:type="paragraph" w:styleId="1">
    <w:name w:val="heading 1"/>
    <w:basedOn w:val="a"/>
    <w:next w:val="a"/>
    <w:qFormat/>
    <w:rsid w:val="000612C2"/>
    <w:pPr>
      <w:keepNext/>
      <w:numPr>
        <w:numId w:val="1"/>
      </w:numPr>
      <w:spacing w:before="240" w:after="80"/>
      <w:jc w:val="center"/>
      <w:outlineLvl w:val="0"/>
    </w:pPr>
    <w:rPr>
      <w:smallCaps/>
      <w:kern w:val="28"/>
    </w:rPr>
  </w:style>
  <w:style w:type="paragraph" w:styleId="2">
    <w:name w:val="heading 2"/>
    <w:basedOn w:val="a"/>
    <w:next w:val="a"/>
    <w:qFormat/>
    <w:rsid w:val="009F484E"/>
    <w:pPr>
      <w:keepNext/>
      <w:numPr>
        <w:ilvl w:val="1"/>
        <w:numId w:val="1"/>
      </w:numPr>
      <w:spacing w:before="120" w:after="60"/>
      <w:outlineLvl w:val="1"/>
    </w:pPr>
    <w:rPr>
      <w:i/>
      <w:iCs/>
    </w:rPr>
  </w:style>
  <w:style w:type="paragraph" w:styleId="3">
    <w:name w:val="heading 3"/>
    <w:basedOn w:val="a"/>
    <w:next w:val="a"/>
    <w:qFormat/>
    <w:pPr>
      <w:keepNext/>
      <w:numPr>
        <w:ilvl w:val="2"/>
        <w:numId w:val="1"/>
      </w:numPr>
      <w:outlineLvl w:val="2"/>
    </w:pPr>
    <w:rPr>
      <w:i/>
      <w:iCs/>
    </w:rPr>
  </w:style>
  <w:style w:type="paragraph" w:styleId="4">
    <w:name w:val="heading 4"/>
    <w:basedOn w:val="a"/>
    <w:next w:val="a"/>
    <w:qFormat/>
    <w:pPr>
      <w:keepNext/>
      <w:numPr>
        <w:ilvl w:val="3"/>
        <w:numId w:val="1"/>
      </w:numPr>
      <w:spacing w:before="240" w:after="60"/>
      <w:outlineLvl w:val="3"/>
    </w:pPr>
    <w:rPr>
      <w:i/>
      <w:iCs/>
      <w:sz w:val="18"/>
      <w:szCs w:val="18"/>
    </w:rPr>
  </w:style>
  <w:style w:type="paragraph" w:styleId="5">
    <w:name w:val="heading 5"/>
    <w:basedOn w:val="a"/>
    <w:next w:val="a"/>
    <w:qFormat/>
    <w:pPr>
      <w:numPr>
        <w:ilvl w:val="4"/>
        <w:numId w:val="1"/>
      </w:numPr>
      <w:spacing w:before="240" w:after="60"/>
      <w:outlineLvl w:val="4"/>
    </w:pPr>
    <w:rPr>
      <w:sz w:val="18"/>
      <w:szCs w:val="18"/>
    </w:rPr>
  </w:style>
  <w:style w:type="paragraph" w:styleId="6">
    <w:name w:val="heading 6"/>
    <w:basedOn w:val="a"/>
    <w:next w:val="a"/>
    <w:qFormat/>
    <w:pPr>
      <w:numPr>
        <w:ilvl w:val="5"/>
        <w:numId w:val="1"/>
      </w:numPr>
      <w:spacing w:before="240" w:after="60"/>
      <w:outlineLvl w:val="5"/>
    </w:pPr>
    <w:rPr>
      <w:i/>
      <w:iCs/>
      <w:sz w:val="16"/>
      <w:szCs w:val="16"/>
    </w:rPr>
  </w:style>
  <w:style w:type="paragraph" w:styleId="7">
    <w:name w:val="heading 7"/>
    <w:basedOn w:val="a"/>
    <w:next w:val="a"/>
    <w:qFormat/>
    <w:pPr>
      <w:numPr>
        <w:ilvl w:val="6"/>
        <w:numId w:val="1"/>
      </w:numPr>
      <w:spacing w:before="240" w:after="60"/>
      <w:outlineLvl w:val="6"/>
    </w:pPr>
    <w:rPr>
      <w:sz w:val="16"/>
      <w:szCs w:val="16"/>
    </w:rPr>
  </w:style>
  <w:style w:type="paragraph" w:styleId="8">
    <w:name w:val="heading 8"/>
    <w:basedOn w:val="a"/>
    <w:next w:val="a"/>
    <w:qFormat/>
    <w:pPr>
      <w:numPr>
        <w:ilvl w:val="7"/>
        <w:numId w:val="1"/>
      </w:numPr>
      <w:spacing w:before="240" w:after="60"/>
      <w:outlineLvl w:val="7"/>
    </w:pPr>
    <w:rPr>
      <w:i/>
      <w:iCs/>
      <w:sz w:val="16"/>
      <w:szCs w:val="16"/>
    </w:rPr>
  </w:style>
  <w:style w:type="paragraph" w:styleId="9">
    <w:name w:val="heading 9"/>
    <w:basedOn w:val="a"/>
    <w:next w:val="a"/>
    <w:qFormat/>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link w:val="Abstract0"/>
    <w:pPr>
      <w:spacing w:before="20"/>
      <w:ind w:firstLine="202"/>
    </w:pPr>
    <w:rPr>
      <w:b/>
      <w:bCs/>
      <w:sz w:val="18"/>
      <w:szCs w:val="18"/>
    </w:rPr>
  </w:style>
  <w:style w:type="paragraph" w:customStyle="1" w:styleId="Authors">
    <w:name w:val="Authors"/>
    <w:basedOn w:val="a"/>
    <w:next w:val="a"/>
    <w:link w:val="Authors0"/>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3">
    <w:name w:val="Title"/>
    <w:basedOn w:val="a"/>
    <w:next w:val="a"/>
    <w:qFormat/>
    <w:rsid w:val="003C13FA"/>
    <w:pPr>
      <w:framePr w:w="9360" w:hSpace="187" w:vSpace="187" w:wrap="notBeside" w:vAnchor="text" w:hAnchor="page" w:xAlign="center" w:y="1"/>
      <w:jc w:val="center"/>
    </w:pPr>
    <w:rPr>
      <w:kern w:val="28"/>
      <w:sz w:val="48"/>
      <w:szCs w:val="48"/>
    </w:rPr>
  </w:style>
  <w:style w:type="paragraph" w:styleId="a4">
    <w:name w:val="footnote text"/>
    <w:basedOn w:val="a"/>
    <w:semiHidden/>
    <w:pPr>
      <w:ind w:firstLine="202"/>
    </w:pPr>
    <w:rPr>
      <w:sz w:val="16"/>
      <w:szCs w:val="16"/>
    </w:rPr>
  </w:style>
  <w:style w:type="paragraph" w:customStyle="1" w:styleId="References">
    <w:name w:val="References"/>
    <w:basedOn w:val="a"/>
    <w:pPr>
      <w:numPr>
        <w:numId w:val="12"/>
      </w:numPr>
    </w:pPr>
    <w:rPr>
      <w:sz w:val="16"/>
      <w:szCs w:val="16"/>
    </w:rPr>
  </w:style>
  <w:style w:type="paragraph" w:customStyle="1" w:styleId="IndexTerms">
    <w:name w:val="IndexTerms"/>
    <w:basedOn w:val="a"/>
    <w:next w:val="a"/>
    <w:pPr>
      <w:ind w:firstLine="202"/>
    </w:pPr>
    <w:rPr>
      <w:b/>
      <w:bCs/>
      <w:sz w:val="18"/>
      <w:szCs w:val="18"/>
    </w:rPr>
  </w:style>
  <w:style w:type="character" w:styleId="a5">
    <w:name w:val="footnote reference"/>
    <w:semiHidden/>
    <w:rPr>
      <w:vertAlign w:val="superscript"/>
    </w:rPr>
  </w:style>
  <w:style w:type="paragraph" w:styleId="a6">
    <w:name w:val="footer"/>
    <w:basedOn w:val="a"/>
    <w:pPr>
      <w:tabs>
        <w:tab w:val="center" w:pos="4320"/>
        <w:tab w:val="right" w:pos="8640"/>
      </w:tabs>
    </w:pPr>
  </w:style>
  <w:style w:type="paragraph" w:customStyle="1" w:styleId="Text">
    <w:name w:val="Text"/>
    <w:basedOn w:val="a"/>
    <w:pPr>
      <w:widowControl w:val="0"/>
      <w:spacing w:line="252" w:lineRule="auto"/>
      <w:ind w:firstLine="202"/>
    </w:pPr>
  </w:style>
  <w:style w:type="paragraph" w:customStyle="1" w:styleId="FigureCaption">
    <w:name w:val="Figure Caption"/>
    <w:basedOn w:val="a"/>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pPr>
      <w:numPr>
        <w:numId w:val="0"/>
      </w:numPr>
    </w:pPr>
  </w:style>
  <w:style w:type="paragraph" w:styleId="a7">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pPr>
  </w:style>
  <w:style w:type="character" w:styleId="a8">
    <w:name w:val="Hyperlink"/>
    <w:rPr>
      <w:color w:val="0000FF"/>
      <w:u w:val="single"/>
    </w:rPr>
  </w:style>
  <w:style w:type="character" w:styleId="a9">
    <w:name w:val="FollowedHyperlink"/>
    <w:rPr>
      <w:color w:val="800080"/>
      <w:u w:val="single"/>
    </w:rPr>
  </w:style>
  <w:style w:type="paragraph" w:styleId="aa">
    <w:name w:val="Body Text Indent"/>
    <w:basedOn w:val="a"/>
    <w:pPr>
      <w:ind w:left="630" w:hanging="630"/>
    </w:pPr>
    <w:rPr>
      <w:szCs w:val="24"/>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customStyle="1" w:styleId="ac">
    <w:name w:val="作者訊息"/>
    <w:basedOn w:val="Authors"/>
    <w:link w:val="ad"/>
    <w:qFormat/>
    <w:rsid w:val="001D2180"/>
    <w:pPr>
      <w:framePr w:wrap="notBeside"/>
    </w:pPr>
  </w:style>
  <w:style w:type="character" w:customStyle="1" w:styleId="Authors0">
    <w:name w:val="Authors 字元"/>
    <w:link w:val="Authors"/>
    <w:rsid w:val="001D2180"/>
    <w:rPr>
      <w:sz w:val="22"/>
      <w:szCs w:val="22"/>
      <w:lang w:eastAsia="en-US"/>
    </w:rPr>
  </w:style>
  <w:style w:type="character" w:customStyle="1" w:styleId="ad">
    <w:name w:val="作者訊息 字元"/>
    <w:link w:val="ac"/>
    <w:rsid w:val="001D2180"/>
    <w:rPr>
      <w:rFonts w:eastAsia="標楷體"/>
      <w:sz w:val="22"/>
      <w:szCs w:val="22"/>
      <w:lang w:eastAsia="en-US"/>
    </w:rPr>
  </w:style>
  <w:style w:type="paragraph" w:customStyle="1" w:styleId="ae">
    <w:name w:val="摘要"/>
    <w:basedOn w:val="Abstract"/>
    <w:link w:val="af"/>
    <w:qFormat/>
    <w:rsid w:val="002725AF"/>
  </w:style>
  <w:style w:type="character" w:customStyle="1" w:styleId="Abstract0">
    <w:name w:val="Abstract 字元"/>
    <w:link w:val="Abstract"/>
    <w:rsid w:val="001C71D2"/>
    <w:rPr>
      <w:b/>
      <w:bCs/>
      <w:sz w:val="18"/>
      <w:szCs w:val="18"/>
      <w:lang w:eastAsia="en-US"/>
    </w:rPr>
  </w:style>
  <w:style w:type="character" w:customStyle="1" w:styleId="af">
    <w:name w:val="摘要 字元"/>
    <w:link w:val="ae"/>
    <w:rsid w:val="002725AF"/>
    <w:rPr>
      <w:rFonts w:eastAsia="標楷體"/>
      <w:b/>
      <w:bCs/>
      <w:sz w:val="18"/>
      <w:szCs w:val="18"/>
      <w:lang w:eastAsia="en-US"/>
    </w:rPr>
  </w:style>
  <w:style w:type="paragraph" w:customStyle="1" w:styleId="af0">
    <w:name w:val="縮排內文"/>
    <w:basedOn w:val="a"/>
    <w:link w:val="af1"/>
    <w:qFormat/>
    <w:rsid w:val="004F7016"/>
    <w:pPr>
      <w:ind w:firstLineChars="200" w:firstLine="400"/>
    </w:pPr>
    <w:rPr>
      <w:lang w:eastAsia="zh-TW"/>
    </w:rPr>
  </w:style>
  <w:style w:type="character" w:customStyle="1" w:styleId="af1">
    <w:name w:val="縮排內文 字元"/>
    <w:link w:val="af0"/>
    <w:rsid w:val="004F7016"/>
    <w:rPr>
      <w:rFonts w:eastAsia="標楷體"/>
    </w:rPr>
  </w:style>
  <w:style w:type="table" w:styleId="af2">
    <w:name w:val="Table Grid"/>
    <w:basedOn w:val="a1"/>
    <w:rsid w:val="001061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rsid w:val="007B6247"/>
    <w:rPr>
      <w:sz w:val="24"/>
      <w:szCs w:val="24"/>
    </w:rPr>
  </w:style>
  <w:style w:type="character" w:styleId="af3">
    <w:name w:val="Unresolved Mention"/>
    <w:uiPriority w:val="99"/>
    <w:semiHidden/>
    <w:unhideWhenUsed/>
    <w:rsid w:val="00936F53"/>
    <w:rPr>
      <w:color w:val="605E5C"/>
      <w:shd w:val="clear" w:color="auto" w:fill="E1DFDD"/>
    </w:rPr>
  </w:style>
  <w:style w:type="paragraph" w:styleId="af4">
    <w:name w:val="Salutation"/>
    <w:basedOn w:val="a"/>
    <w:next w:val="a"/>
    <w:link w:val="af5"/>
    <w:rsid w:val="00551D93"/>
    <w:rPr>
      <w:lang w:eastAsia="zh-TW"/>
    </w:rPr>
  </w:style>
  <w:style w:type="character" w:customStyle="1" w:styleId="af5">
    <w:name w:val="問候 字元"/>
    <w:link w:val="af4"/>
    <w:rsid w:val="00551D93"/>
    <w:rPr>
      <w:rFonts w:eastAsia="標楷體"/>
    </w:rPr>
  </w:style>
  <w:style w:type="paragraph" w:styleId="af6">
    <w:name w:val="Closing"/>
    <w:basedOn w:val="a"/>
    <w:link w:val="af7"/>
    <w:rsid w:val="00551D93"/>
    <w:pPr>
      <w:ind w:leftChars="1800" w:left="100"/>
    </w:pPr>
    <w:rPr>
      <w:lang w:eastAsia="zh-TW"/>
    </w:rPr>
  </w:style>
  <w:style w:type="character" w:customStyle="1" w:styleId="af7">
    <w:name w:val="結語 字元"/>
    <w:link w:val="af6"/>
    <w:rsid w:val="00551D93"/>
    <w:rPr>
      <w:rFonts w:eastAsia="標楷體"/>
    </w:rPr>
  </w:style>
  <w:style w:type="character" w:styleId="af8">
    <w:name w:val="Placeholder Text"/>
    <w:basedOn w:val="a0"/>
    <w:uiPriority w:val="99"/>
    <w:semiHidden/>
    <w:rsid w:val="00650773"/>
    <w:rPr>
      <w:color w:val="666666"/>
    </w:rPr>
  </w:style>
  <w:style w:type="paragraph" w:styleId="af9">
    <w:name w:val="List Paragraph"/>
    <w:basedOn w:val="a"/>
    <w:uiPriority w:val="34"/>
    <w:qFormat/>
    <w:rsid w:val="00E50F0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38570-6B77-4A79-8DB9-9B0B84473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5</Pages>
  <Words>1327</Words>
  <Characters>7569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映潔 吳</cp:lastModifiedBy>
  <cp:revision>22</cp:revision>
  <cp:lastPrinted>2026-06-13T07:10:00Z</cp:lastPrinted>
  <dcterms:created xsi:type="dcterms:W3CDTF">2026-06-13T08:49:00Z</dcterms:created>
  <dcterms:modified xsi:type="dcterms:W3CDTF">2026-06-14T03:02:00Z</dcterms:modified>
</cp:coreProperties>
</file>