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F51A" w14:textId="7BA6CC66" w:rsidR="00D1669F" w:rsidRPr="005D334E" w:rsidRDefault="00216673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D334E">
        <w:rPr>
          <w:rFonts w:ascii="Times New Roman" w:hAnsi="Times New Roman" w:cs="Times New Roman"/>
          <w:b/>
          <w:bCs/>
          <w:sz w:val="40"/>
          <w:szCs w:val="40"/>
        </w:rPr>
        <w:t>Literature Review</w:t>
      </w:r>
      <w:r w:rsidRPr="005D334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000000" w:rsidRPr="005D334E">
        <w:rPr>
          <w:rFonts w:ascii="Times New Roman" w:hAnsi="Times New Roman" w:cs="Times New Roman"/>
          <w:b/>
          <w:bCs/>
          <w:sz w:val="40"/>
          <w:szCs w:val="40"/>
        </w:rPr>
        <w:t>Early-Warning Diagnostics</w:t>
      </w:r>
    </w:p>
    <w:p w14:paraId="51D6AF46" w14:textId="69D30A4B" w:rsidR="00D1669F" w:rsidRPr="00216673" w:rsidRDefault="00000000">
      <w:pPr>
        <w:spacing w:after="240"/>
        <w:jc w:val="center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i/>
          <w:iCs/>
          <w:color w:val="000000" w:themeColor="text1"/>
        </w:rPr>
        <w:t xml:space="preserve">Dashboard baselines · Representation metrics · LLC / developmental interpretability </w:t>
      </w:r>
    </w:p>
    <w:p w14:paraId="7D05B088" w14:textId="77777777" w:rsidR="00D1669F" w:rsidRPr="00216673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Tracing the Representation Geometry of Language Models from Pretraining to Post-training (Li et al., </w:t>
      </w:r>
      <w:proofErr w:type="spellStart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NeurIPS</w:t>
      </w:r>
      <w:proofErr w:type="spellEnd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2025, arXiv:2509.23024)</w:t>
      </w:r>
    </w:p>
    <w:p w14:paraId="5E5240D3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Method</w:t>
      </w:r>
    </w:p>
    <w:p w14:paraId="148DBC64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Spectral analysis of the covariance of last-layer, last-token hidden states on fixed input sets, tracked across training checkpoints. Two complementary metrics: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RankMe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>, the exponential of the Von Neumann entropy of the normalized eigenvalue distribution (effective rank, in (0, d]); and α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ReQ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, the fitted power-law decay exponent of the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eigenspectrum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σ_i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</w:t>
      </w:r>
      <w:r w:rsidRPr="00216673">
        <w:rPr>
          <w:rFonts w:ascii="Cambria Math" w:hAnsi="Cambria Math" w:cs="Cambria Math"/>
          <w:color w:val="000000" w:themeColor="text1"/>
        </w:rPr>
        <w:t>∝</w:t>
      </w:r>
      <w:r w:rsidRPr="002166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^−α), which is dimension-independent and therefore comparable across model sizes. Distributional memorization is measured as the Spearman correlation between LLM outputs and an ∞-gram language model. A linear toy model (features + cross-entropy, skewed token frequencies, bottleneck d </w:t>
      </w:r>
      <w:r w:rsidRPr="00216673">
        <w:rPr>
          <w:rFonts w:ascii="Cambria Math" w:hAnsi="Cambria Math" w:cs="Cambria Math"/>
          <w:color w:val="000000" w:themeColor="text1"/>
        </w:rPr>
        <w:t>≪</w:t>
      </w:r>
      <w:r w:rsidRPr="00216673">
        <w:rPr>
          <w:rFonts w:ascii="Times New Roman" w:hAnsi="Times New Roman" w:cs="Times New Roman"/>
          <w:color w:val="000000" w:themeColor="text1"/>
        </w:rPr>
        <w:t xml:space="preserve"> |V|) reproduces the observed phase structure via primacy bias (frequent classes learned first) and selection bias (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Δσ_i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</w:t>
      </w:r>
      <w:r w:rsidRPr="00216673">
        <w:rPr>
          <w:rFonts w:ascii="Cambria Math" w:hAnsi="Cambria Math" w:cs="Cambria Math"/>
          <w:color w:val="000000" w:themeColor="text1"/>
        </w:rPr>
        <w:t>∝</w:t>
      </w:r>
      <w:r w:rsidRPr="002166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σ_i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>).</w:t>
      </w:r>
    </w:p>
    <w:p w14:paraId="1C8104B9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Experimental Setup</w:t>
      </w:r>
    </w:p>
    <w:p w14:paraId="1C9EF01F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Intermediate checkpoints of OLMo-2 1B/7B (~4T-token runs) and Pythia 160M–12B (shared data ordering); all post-training stages of Tülu-3.1 8B (LLaMA-3.1 base, SFT → DPO → RLVR).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Layerwise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analysis (Fig. 3) shows the three-phase pattern holds across depth, justifying last-layer tracking. Additional SFT experiments fine-tune OLMo-2-1B checkpoints on Anthropic-HH vs. Alpaca-farm to link base-model geometry to the ID/OOD generalization gap.</w:t>
      </w:r>
    </w:p>
    <w:p w14:paraId="186E909C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Evaluation Metrics</w:t>
      </w:r>
    </w:p>
    <w:p w14:paraId="64AE5EC0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6673">
        <w:rPr>
          <w:rFonts w:ascii="Times New Roman" w:hAnsi="Times New Roman" w:cs="Times New Roman"/>
          <w:color w:val="000000" w:themeColor="text1"/>
        </w:rPr>
        <w:t>RankMe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and α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ReQ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trajectories; ∞-gram memorization score; 0-shot accuracy (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SciQ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TriviaQA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); ID/OOD loss and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AlpacaEval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win rates for SFT; unbiased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pass@k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(N=512, k ≤ 256) on AMC-23 for RLVR; eigenvector ablations (retaining top-10 directions collapses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SciQ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accuracy 0.838 → 0.225 on Pythia-1B, validating full-spectrum metrics over top-k proxies).</w:t>
      </w:r>
    </w:p>
    <w:p w14:paraId="1075E0CB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Datasets</w:t>
      </w:r>
    </w:p>
    <w:p w14:paraId="153D7496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Released pretraining checkpoint suites (OLMo-2, Pythia/Pile); Anthropic-HH, Alpaca farm,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AlpacaEval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SciQ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TriviaQA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>; AMC-23.</w:t>
      </w:r>
    </w:p>
    <w:p w14:paraId="71AE51BE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Future Directions (authors')</w:t>
      </w:r>
    </w:p>
    <w:p w14:paraId="4782C927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Checkpoint selection for targeted fine-tuning and training strategies that deliberately navigate geometric phases; extending the linear theory to full transformers; multilingual and alternative objectives; establishing causal (not correlational) links between geometry and capabilities.</w:t>
      </w:r>
    </w:p>
    <w:p w14:paraId="7F6BC2FE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Weaknesses</w:t>
      </w:r>
    </w:p>
    <w:p w14:paraId="642484B4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Purely correlational characterization: no prediction task, no detector, no stall labels, no lead-time analysis, no multi-stage stall setting, and no comparison against dashboard signals (loss/grad-norm appear only as a qualitative foil in Fig. 2). RLVR evidence rests on a single public run (Tülu-3.1, no seeds, no knob sweep). Spectral metrics reportedly need ~10K probe samples and scale quadratically with hidden dimension; analysis capped at 12B; findings English-only.</w:t>
      </w:r>
    </w:p>
    <w:p w14:paraId="78997F14" w14:textId="77777777" w:rsidR="00D1669F" w:rsidRPr="00216673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On Predictability of Reinforcement Learning Dynamics for Large Language Models — </w:t>
      </w:r>
      <w:proofErr w:type="spellStart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AlphaRL</w:t>
      </w:r>
      <w:proofErr w:type="spellEnd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(Cai et al., ICLR 2026, arXiv:2510.00553)</w:t>
      </w:r>
    </w:p>
    <w:p w14:paraId="33AD205F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Method</w:t>
      </w:r>
    </w:p>
    <w:p w14:paraId="13BFAAF7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Module-wise analysis of the RL-induced parameter update ΔW = W_RL −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W_base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. SVD of ΔW; the Rank-1 update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σ₁u₁v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₁ᵀ is rescaled to match the L2 norm of the full update and added back to the base model (Property 1: Rank-1 Dominance). The top left-singular vectors u₁(t) collected across checkpoints form a per-module update trajectory; PLS regression against checkpoint accuracy quantifies linearity (Property 2: Rank-1 Linear Dynamics, mean R² ≈ 0.91).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AlphaRL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fits scaled rank-1 vectors against relative accuracy on an early window and inverts the fit at target y* = 1 (full relative accuracy) to predict the final update directly.</w:t>
      </w:r>
    </w:p>
    <w:p w14:paraId="3B0E8006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Experimental Setup</w:t>
      </w:r>
    </w:p>
    <w:p w14:paraId="36524C28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Eight LLMs, seven training algorithms (headline figures). Main runs: Qwen3-8B-Base trained with RLOO/GRPO/DAPO on DAPO-Math-17k via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verl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; PPO and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Dr.GRPO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via open-sourced models (Open-Reasoner-Zero-7B, Qwen2.5-Math-7B-Oat-Zero); SFT (DeepMath-103K) and distillation (DeepSeek-R1-Distill-Qwen-7B) as negative contrasts — neither exhibits rank-1 dominance, and both shift the embedding space where RL does not. Additional models: Qwen3-4B/14B-Base, GLM-4-9B, Llama-3.1-8B-Instruct.</w:t>
      </w:r>
    </w:p>
    <w:p w14:paraId="0E407C8A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Evaluation Metrics</w:t>
      </w:r>
    </w:p>
    <w:p w14:paraId="5AF68416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Relative accuracy of the rank-1-reconstructed model vs. the fully trained model (average 99.17% of reasoning gains recovered); benchmark accuracy with 32 samples/question at T = 0.6; trajectory linearity R²; a sliding-window module-contribution ablation (injecting only high-R² modules' rank-1 updates; performance degrades as window-minimum R² falls); acceleration (10% steps +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AlphaRL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≈ 40% steps vanilla; up to 2.5× speedup at &gt;96% retained performance).</w:t>
      </w:r>
    </w:p>
    <w:p w14:paraId="3E36248C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Datasets</w:t>
      </w:r>
    </w:p>
    <w:p w14:paraId="3E24DF8F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AIME24, AIME25, MATH-500, Minerva, GPQA, GSM8K (evaluation); DAPO-Math-17k, DeepMath-103K (training).</w:t>
      </w:r>
    </w:p>
    <w:p w14:paraId="27A13C7B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Future Directions (authors')</w:t>
      </w:r>
    </w:p>
    <w:p w14:paraId="6F99F1C1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Theoretical foundations via neuron attribution and causal tracing; nonlinear forecasting beyond the linear law; explicitly, exploiting the Rank-1 property for monitoring training dynamics — i.e., the direction our proposal takes is named as open future work.</w:t>
      </w:r>
    </w:p>
    <w:p w14:paraId="7FDC665B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Weaknesses</w:t>
      </w:r>
    </w:p>
    <w:p w14:paraId="454FAAD1" w14:textId="0A75503C" w:rsidR="003F2DAF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Predicts the endpoint of a single, presumed-successful RL stage for acceleration: the extrapolation target is fixed at full relative accuracy, so the framework contains no notion of failure. No multi-stage setting, no stall labels, no calibrated detector metrics (AUROC/ECE), no lead time, no comparison against any dashboard signal. Empirical laws without theory (authors' own limitation); main experiments concentrated on one base model;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regime undiscussed (ΔW = BA is trivially </w:t>
      </w:r>
      <w:proofErr w:type="gramStart"/>
      <w:r w:rsidRPr="00216673">
        <w:rPr>
          <w:rFonts w:ascii="Times New Roman" w:hAnsi="Times New Roman" w:cs="Times New Roman"/>
          <w:color w:val="000000" w:themeColor="text1"/>
        </w:rPr>
        <w:t>low-rank</w:t>
      </w:r>
      <w:proofErr w:type="gramEnd"/>
      <w:r w:rsidRPr="00216673">
        <w:rPr>
          <w:rFonts w:ascii="Times New Roman" w:hAnsi="Times New Roman" w:cs="Times New Roman"/>
          <w:color w:val="000000" w:themeColor="text1"/>
        </w:rPr>
        <w:t>).</w:t>
      </w:r>
    </w:p>
    <w:p w14:paraId="5193C0D3" w14:textId="77777777" w:rsidR="003F2DAF" w:rsidRDefault="003F2DA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1B9D7EC1" w14:textId="77777777" w:rsidR="00D1669F" w:rsidRPr="00216673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Representation Collapse in Sequential Post-Training of Large Language Models (Liu et al., 2026, arXiv:2605.30524, v1 preprint)</w:t>
      </w:r>
    </w:p>
    <w:p w14:paraId="0414825E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Method</w:t>
      </w:r>
    </w:p>
    <w:p w14:paraId="21D9F1DE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Treats sequential post-training as a trajectory: a fixed probe corpus is applied to </w:t>
      </w:r>
      <w:proofErr w:type="gramStart"/>
      <w:r w:rsidRPr="00216673">
        <w:rPr>
          <w:rFonts w:ascii="Times New Roman" w:hAnsi="Times New Roman" w:cs="Times New Roman"/>
          <w:color w:val="000000" w:themeColor="text1"/>
        </w:rPr>
        <w:t>every</w:t>
      </w:r>
      <w:proofErr w:type="gramEnd"/>
      <w:r w:rsidRPr="00216673">
        <w:rPr>
          <w:rFonts w:ascii="Times New Roman" w:hAnsi="Times New Roman" w:cs="Times New Roman"/>
          <w:color w:val="000000" w:themeColor="text1"/>
        </w:rPr>
        <w:t xml:space="preserve"> checkpoint so measured geometry changes are not confounded with a changing evaluation distribution. Four-level measurement suite: hidden-state spectra (normalized effective rank, participation ratio, top-k variance); geometry (centered and uncentered anisotropy reported as a pair to separate directional collapse from mean-shift artifacts; CKA vs. the base model and vs. the previous stage; domain separability via frozen linear probe / silhouette); token-span dynamics (prompt / early response / late response /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CoT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/ refusal spans); logit diagnostics (entropy, support size, top-two margin, ECE, per-domain NLL, teacher-forced); and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update-subspace overlap Ω = (1/k)‖Q_tᵀQ_s‖²_F. An aggregate collapse index (z-scored average) is used for visualization only. A linearized theory sketch explains why repeated subspace reuse lowers participation ratio while task performance still improves.</w:t>
      </w:r>
    </w:p>
    <w:p w14:paraId="4120A173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Experimental Setup</w:t>
      </w:r>
    </w:p>
    <w:p w14:paraId="1BDE7D6A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Qwen2.5-1.5B and TinyLlama-1.1B primary; Llama-3.2-1B and OLMo-1B robustness; one Qwen2.5-7B/Mistral-7B sequence as scaling check. Default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r16/α32 on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attention+MLP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, plus one 1B full-fine-tuning run to rule out adapter artifacts. Four stage sequences: specialization chain (general → math → code → safety),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reasoning+preference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(general → long-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CoT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→ DPO), safety-first, and a math/code order permutation for path dependence. Mitigations: mixed-domain replay (5/10/20%, tokens fixed), periodic feature refresh, batch-level representation-diversity regularization,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update decorrelation (compared against simply increasing rank).</w:t>
      </w:r>
    </w:p>
    <w:p w14:paraId="417E0DAB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Evaluation Metrics</w:t>
      </w:r>
    </w:p>
    <w:p w14:paraId="1BDF41E0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Per-stage target-domain score, OOD retention, calibration; and the key test — a fixed-budget future-learning probe on a task unseen in the sequence (sample efficiency, final score). Statistics: mixed-effects regression predicting future-task score from effective rank, anisotropy, CKA drift, logit entropy, and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overlap, with metrics computed strictly before the future task is trained, controlling for current target score, validation loss, and total tokens. Matched-token stage-specific controls; falsification checks include shuffled-label probes and matched-token no-op adapters. Headline table: target score rises 54.2 → 70.1 while normalized effective rank falls 0.74 → 0.58 and future score falls 71.0 → 60.7.</w:t>
      </w:r>
    </w:p>
    <w:p w14:paraId="5EEEDF4D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Datasets</w:t>
      </w:r>
    </w:p>
    <w:p w14:paraId="0CF97E45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A 12,000-example fixed probe corpus balanced across general instruction, math, code, safety/refusal, long-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CoT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>, and open-domain factual text, with token-span annotations; standard training pools for each stage type.</w:t>
      </w:r>
    </w:p>
    <w:p w14:paraId="5A6DC2C1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Future Directions (authors' framing)</w:t>
      </w:r>
    </w:p>
    <w:p w14:paraId="3FD54DF7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Validation at production scale and on genuine RLHF/RLAIF (DPO is acknowledged as a proxy); causal evidence via interventions that reduce collapse while controlling target performance, tokens, and adapter capacity.</w:t>
      </w:r>
    </w:p>
    <w:p w14:paraId="751CCD20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Weaknesses</w:t>
      </w:r>
    </w:p>
    <w:p w14:paraId="6CF64101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Contains no on-policy RL — every stage is an SFT variant or DPO — so RLVR-specific dynamics (KL accumulation, entropy collapse, reward signals) are </w:t>
      </w:r>
      <w:proofErr w:type="gramStart"/>
      <w:r w:rsidRPr="00216673">
        <w:rPr>
          <w:rFonts w:ascii="Times New Roman" w:hAnsi="Times New Roman" w:cs="Times New Roman"/>
          <w:color w:val="000000" w:themeColor="text1"/>
        </w:rPr>
        <w:t>absent</w:t>
      </w:r>
      <w:proofErr w:type="gramEnd"/>
      <w:r w:rsidRPr="00216673">
        <w:rPr>
          <w:rFonts w:ascii="Times New Roman" w:hAnsi="Times New Roman" w:cs="Times New Roman"/>
          <w:color w:val="000000" w:themeColor="text1"/>
        </w:rPr>
        <w:t xml:space="preserve"> and a dashboard bake-off is impossible in its setting, not merely omitted. The predictive analysis is a checkpoint-level regression onto a continuous </w:t>
      </w:r>
      <w:r w:rsidRPr="00216673">
        <w:rPr>
          <w:rFonts w:ascii="Times New Roman" w:hAnsi="Times New Roman" w:cs="Times New Roman"/>
          <w:color w:val="000000" w:themeColor="text1"/>
        </w:rPr>
        <w:lastRenderedPageBreak/>
        <w:t>future-adaptation score: no stall labels, no calibrated binary detector, no lead time (prediction happens at stage boundaries, not within-stage on a time axis). Scale 1B–7B; metrics sensitive to probe construction (authors' own limitation); v1 preprint, no public code found — quote qualitative conclusions with more confidence than specific numbers.</w:t>
      </w:r>
    </w:p>
    <w:p w14:paraId="3A2602FB" w14:textId="77777777" w:rsidR="00D1669F" w:rsidRPr="00216673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Stagewise Reinforcement Learning and the Geometry of the Regret Landscape (Elliott, </w:t>
      </w:r>
      <w:proofErr w:type="spellStart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Urdshals</w:t>
      </w:r>
      <w:proofErr w:type="spellEnd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Quarel</w:t>
      </w:r>
      <w:proofErr w:type="spellEnd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Farrugia-Roberts, </w:t>
      </w:r>
      <w:proofErr w:type="spellStart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Murfet</w:t>
      </w:r>
      <w:proofErr w:type="spellEnd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— Timaeus/Oxford, 2026, arXiv:2601.07524)</w:t>
      </w:r>
    </w:p>
    <w:p w14:paraId="5F4D1945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Method</w:t>
      </w:r>
    </w:p>
    <w:p w14:paraId="2BCF4DD9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Extends Singular Learning Theory from supervised learning to RL. Defines a generalized (Gibbs) posterior over policies, p(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w|D_n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) </w:t>
      </w:r>
      <w:r w:rsidRPr="00216673">
        <w:rPr>
          <w:rFonts w:ascii="Cambria Math" w:hAnsi="Cambria Math" w:cs="Cambria Math"/>
          <w:color w:val="000000" w:themeColor="text1"/>
        </w:rPr>
        <w:t>∝</w:t>
      </w:r>
      <w:r w:rsidRPr="00216673">
        <w:rPr>
          <w:rFonts w:ascii="Times New Roman" w:hAnsi="Times New Roman" w:cs="Times New Roman"/>
          <w:color w:val="000000" w:themeColor="text1"/>
        </w:rPr>
        <w:t xml:space="preserve"> exp(−nβ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G_n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(w))φ(w), where the empirical regret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G_n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is an importance-sampled estimate accounting for the sequence of behavioral policies (handling non-stationary data); SGD on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G_n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corresponds to off-policy REINFORCE. Main theorem: posterior concentration is governed by the local learning coefficient λ (LLC), a geometric invariant of the regret landscape, yielding the free-energy formula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F_n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(U) =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nG_n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(w₀) + λ(U)·log n +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o_P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(log n) — learning as an evolving tradeoff between regret and complexity. Comparing two minima gives a critical sample size n* (n*/log n* =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δλ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δG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>) at which posterior preference flips: a Bayesian phase transition. Predictions for SGD-based deep RL: plateau-to-plateau dynamics with sudden regret drops, and LLC increases during transitions — simple high-regret policies → complex low-regret policies.</w:t>
      </w:r>
    </w:p>
    <w:p w14:paraId="4AEA593F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Experimental Setup</w:t>
      </w:r>
    </w:p>
    <w:p w14:paraId="1B6E9071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Cheese-in-the-Corner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gridworld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(13×13 with walls; 14,520 enumerable states, so regret is computed analytically). Agent: Impala-style 15-conv-layer network (LSTM replaced by a feedforward head), trained with vanilla REINFORCE, no baseline. Two swept hyperparameters: discount γ and initial-state mixing α (goal fixed in the corner vs. uniform). Policies are automatically classified into phases (π⁰ random, π¹ up/left 50-50, π²ᵃ/π²ᵇ corner-seeking variants, π³ = optimal shortest-path) via L2 distance to phase subspaces in the policy polytope. LLC estimated by preconditioned SGLD sampling of the local Gibbs posterior with a Gaussian localization prior; a fixed-loss convention makes LLC estimates comparable across runs trained with different hyperparameters.</w:t>
      </w:r>
    </w:p>
    <w:p w14:paraId="7BA80E9F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Evaluation Metrics</w:t>
      </w:r>
    </w:p>
    <w:p w14:paraId="7945E637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Analytic regret G(w); LLC estimates (with uncertainty across chains/seeds; phase-1 LLC 29.54 ± 6.35); automated phase membership. Headline observation (Fig. 1): 'opposing staircases' — regret descends in sharp steps at phase transitions while the LLC rises in steps at the same points; within phases, regret is </w:t>
      </w:r>
      <w:proofErr w:type="gramStart"/>
      <w:r w:rsidRPr="00216673">
        <w:rPr>
          <w:rFonts w:ascii="Times New Roman" w:hAnsi="Times New Roman" w:cs="Times New Roman"/>
          <w:color w:val="000000" w:themeColor="text1"/>
        </w:rPr>
        <w:t>flat</w:t>
      </w:r>
      <w:proofErr w:type="gramEnd"/>
      <w:r w:rsidRPr="00216673">
        <w:rPr>
          <w:rFonts w:ascii="Times New Roman" w:hAnsi="Times New Roman" w:cs="Times New Roman"/>
          <w:color w:val="000000" w:themeColor="text1"/>
        </w:rPr>
        <w:t xml:space="preserve"> but the LLC continues to drift, i.e., the complexity measure carries information invisible to the performance signal.</w:t>
      </w:r>
    </w:p>
    <w:p w14:paraId="099DC0F2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Datasets</w:t>
      </w:r>
    </w:p>
    <w:p w14:paraId="03FFCC39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Procedurally generated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gridworld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episodes; no external datasets.</w:t>
      </w:r>
    </w:p>
    <w:p w14:paraId="074A650D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Future Directions (authors', §7.3)</w:t>
      </w:r>
    </w:p>
    <w:p w14:paraId="4C135BFE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Formally characterizing the correspondence between the idealized Bayesian process and SGD dynamics (open); relaxing the deterministic-transition assumption; weight-refined LLCs and susceptibilities as interpretability and training-monitoring tools. The alignment discussion (§7.1) notes that a simpler solution can 'screen' a better one until a critical sample size — a candidate theoretical mechanism for stalls.</w:t>
      </w:r>
    </w:p>
    <w:p w14:paraId="1DBD08ED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lastRenderedPageBreak/>
        <w:t>Weaknesses</w:t>
      </w:r>
    </w:p>
    <w:p w14:paraId="780C23EB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Theory plus a single toy environment: a convolutional agent with vanilla REINFORCE on an analytically solvable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gridworld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— four removes from LLM RLVR (model, algorithm, task, observables). No LLM experiments, no multi-stage post-training, no stall labels, no detector, no lead time, no dashboard comparison; the opposing staircases are coincident observations, not a lead-lag analysis. LLC estimation is costly and hyperparameter-sensitive (n, β, localization). Terminology caution: their 'stagewise' means developmental stages within one run, not our curriculum stages — disambiguate in the doc.</w:t>
      </w:r>
    </w:p>
    <w:p w14:paraId="7449DBF3" w14:textId="77777777" w:rsidR="00D1669F" w:rsidRPr="00216673" w:rsidRDefault="0000000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Local Learning Coefficients Predict Developmental Milestones During GRPO (Ferrao &amp; </w:t>
      </w:r>
      <w:proofErr w:type="spellStart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Lichkovski</w:t>
      </w:r>
      <w:proofErr w:type="spellEnd"/>
      <w:r w:rsidRPr="002166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2025 — AI Safety x Physics Grand Challenge / Apart Research; non-archival)</w:t>
      </w:r>
    </w:p>
    <w:p w14:paraId="5087DD3B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Method</w:t>
      </w:r>
    </w:p>
    <w:p w14:paraId="073F061D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First application of LLC-based developmental interpretability to a GRPO-trained language model. Frames capability emergence as phase transitions and proposes that the individual components of a composite reward function serve as direct behavioral observables for those transitions (reward as a diagnostic signal, not only a training signal). LLC estimated with SGMCMC via the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devinterp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library at every checkpoint; LLC trace and reward-component curves are aligned on the same step axis and inspected for co-occurring inflections.</w:t>
      </w:r>
    </w:p>
    <w:p w14:paraId="17DA4CAC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Experimental Setup</w:t>
      </w:r>
    </w:p>
    <w:p w14:paraId="2CBC1690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Qwen3-0.6B (described in text as 0.5B) trained with GRPO (TRL) on 456 procedurally generated arithmetic problems (addition, 5–8 digits, 2–4 terms, progressive difficulty) for ~220 steps; checkpoints every 10 steps. Four reward components: format (+0.125 per XML tag, small penalty for trailing text), numeric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parseability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(+0.5), length penalty (−0.002/char, combined with a deliberately tight 512-token completion limit), correctness (+5.0 exact match). Notable: only 2 generations per group (very noisy advantage estimates). LLC hyperparameters: SGMCMC </w:t>
      </w:r>
      <w:proofErr w:type="spellStart"/>
      <w:r w:rsidRPr="00216673">
        <w:rPr>
          <w:rFonts w:ascii="Times New Roman" w:hAnsi="Times New Roman" w:cs="Times New Roman"/>
          <w:color w:val="000000" w:themeColor="text1"/>
        </w:rPr>
        <w:t>lr</w:t>
      </w:r>
      <w:proofErr w:type="spellEnd"/>
      <w:r w:rsidRPr="00216673">
        <w:rPr>
          <w:rFonts w:ascii="Times New Roman" w:hAnsi="Times New Roman" w:cs="Times New Roman"/>
          <w:color w:val="000000" w:themeColor="text1"/>
        </w:rPr>
        <w:t xml:space="preserve"> 1e-5, localization γ = 100, 2 chains, 300 burn-in + 300 post-burn-in draws, selected by grid sweep plus manual convergence inspection.</w:t>
      </w:r>
    </w:p>
    <w:p w14:paraId="46BA4F01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Evaluation Metrics</w:t>
      </w:r>
    </w:p>
    <w:p w14:paraId="7475B825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 xml:space="preserve">Reward-component curves and LLC mean ± std </w:t>
      </w:r>
      <w:proofErr w:type="gramStart"/>
      <w:r w:rsidRPr="00216673">
        <w:rPr>
          <w:rFonts w:ascii="Times New Roman" w:hAnsi="Times New Roman" w:cs="Times New Roman"/>
          <w:color w:val="000000" w:themeColor="text1"/>
        </w:rPr>
        <w:t>over steps</w:t>
      </w:r>
      <w:proofErr w:type="gramEnd"/>
      <w:r w:rsidRPr="00216673">
        <w:rPr>
          <w:rFonts w:ascii="Times New Roman" w:hAnsi="Times New Roman" w:cs="Times New Roman"/>
          <w:color w:val="000000" w:themeColor="text1"/>
        </w:rPr>
        <w:t>; three visually identified transition windows (steps 44–66, 88–110, 187–209). Window 1: a sharp LLC decrease as the model learns to answer within the token limit (numeric and length rewards rise). Window 2: an LLC spike described as preceding a general flattening of reward curves (skill consolidation) — the only temporal-lead language in the paper, qualitative and unquantified. Window 3: an LLC spike aligned with a transient correctness drop (brief policy degradation/exploration).</w:t>
      </w:r>
    </w:p>
    <w:p w14:paraId="63265B06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Datasets</w:t>
      </w:r>
    </w:p>
    <w:p w14:paraId="517EF17C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Self-generated synthetic arithmetic (456 problems); code released.</w:t>
      </w:r>
    </w:p>
    <w:p w14:paraId="0E030900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Future Directions (authors')</w:t>
      </w:r>
    </w:p>
    <w:p w14:paraId="257D0E82" w14:textId="77777777" w:rsidR="00D1669F" w:rsidRPr="00216673" w:rsidRDefault="00000000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t>Mechanistic verification of the transitions via sparse autoencoders and automated circuit discovery; longer convergent GRPO runs; predicting compositional generalization with SLT techniques.</w:t>
      </w:r>
    </w:p>
    <w:p w14:paraId="49A24BF8" w14:textId="77777777" w:rsidR="00D1669F" w:rsidRPr="00216673" w:rsidRDefault="00000000">
      <w:pPr>
        <w:pStyle w:val="Heading2"/>
        <w:spacing w:before="200" w:after="60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Weaknesses</w:t>
      </w:r>
    </w:p>
    <w:p w14:paraId="01EF819A" w14:textId="7C3C226E" w:rsidR="00D1669F" w:rsidRPr="00216673" w:rsidRDefault="00000000" w:rsidP="00417B23">
      <w:pPr>
        <w:spacing w:after="100" w:line="276" w:lineRule="auto"/>
        <w:rPr>
          <w:rFonts w:ascii="Times New Roman" w:hAnsi="Times New Roman" w:cs="Times New Roman"/>
          <w:color w:val="000000" w:themeColor="text1"/>
        </w:rPr>
      </w:pPr>
      <w:r w:rsidRPr="00216673">
        <w:rPr>
          <w:rFonts w:ascii="Times New Roman" w:hAnsi="Times New Roman" w:cs="Times New Roman"/>
          <w:color w:val="000000" w:themeColor="text1"/>
        </w:rPr>
        <w:lastRenderedPageBreak/>
        <w:t xml:space="preserve">Hackathon-level proof-of-concept, non-archival, single 0.6B model, toy task, ~220 steps. Transitions are post-hoc visual windows with no statistical test, no cross-seed replication; the authors state explicitly that the result is a correlation, not a causal link, and the </w:t>
      </w:r>
      <w:proofErr w:type="gramStart"/>
      <w:r w:rsidRPr="00216673">
        <w:rPr>
          <w:rFonts w:ascii="Times New Roman" w:hAnsi="Times New Roman" w:cs="Times New Roman"/>
          <w:color w:val="000000" w:themeColor="text1"/>
        </w:rPr>
        <w:t>title's</w:t>
      </w:r>
      <w:proofErr w:type="gramEnd"/>
      <w:r w:rsidRPr="00216673">
        <w:rPr>
          <w:rFonts w:ascii="Times New Roman" w:hAnsi="Times New Roman" w:cs="Times New Roman"/>
          <w:color w:val="000000" w:themeColor="text1"/>
        </w:rPr>
        <w:t xml:space="preserve"> 'Predict' overstates what is shown. Per its public review: the LLC is estimated on cross-entropy loss, not the GRPO objective</w:t>
      </w:r>
      <w:r w:rsidR="00E96AD1">
        <w:rPr>
          <w:rFonts w:ascii="Times New Roman" w:hAnsi="Times New Roman" w:cs="Times New Roman"/>
          <w:color w:val="000000" w:themeColor="text1"/>
        </w:rPr>
        <w:t xml:space="preserve">, </w:t>
      </w:r>
      <w:r w:rsidRPr="00216673">
        <w:rPr>
          <w:rFonts w:ascii="Times New Roman" w:hAnsi="Times New Roman" w:cs="Times New Roman"/>
          <w:color w:val="000000" w:themeColor="text1"/>
        </w:rPr>
        <w:t>it probes the language-model landscape, not the RL landscape and SLT's applicability to non-stationary, policy-coupled RL objectives remains theoretically open. No stall setting, no detector, no lead time, no dashboard comparison.</w:t>
      </w:r>
    </w:p>
    <w:sectPr w:rsidR="00D1669F" w:rsidRPr="00216673">
      <w:pgSz w:w="12240" w:h="15840"/>
      <w:pgMar w:top="1200" w:right="1350" w:bottom="120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68B"/>
    <w:multiLevelType w:val="hybridMultilevel"/>
    <w:tmpl w:val="BAC0CD76"/>
    <w:lvl w:ilvl="0" w:tplc="D2BAC3F8">
      <w:start w:val="1"/>
      <w:numFmt w:val="bullet"/>
      <w:lvlText w:val="●"/>
      <w:lvlJc w:val="left"/>
      <w:pPr>
        <w:ind w:left="720" w:hanging="360"/>
      </w:pPr>
    </w:lvl>
    <w:lvl w:ilvl="1" w:tplc="78E8D9DC">
      <w:start w:val="1"/>
      <w:numFmt w:val="bullet"/>
      <w:lvlText w:val="○"/>
      <w:lvlJc w:val="left"/>
      <w:pPr>
        <w:ind w:left="1440" w:hanging="360"/>
      </w:pPr>
    </w:lvl>
    <w:lvl w:ilvl="2" w:tplc="48B49408">
      <w:start w:val="1"/>
      <w:numFmt w:val="bullet"/>
      <w:lvlText w:val="■"/>
      <w:lvlJc w:val="left"/>
      <w:pPr>
        <w:ind w:left="2160" w:hanging="360"/>
      </w:pPr>
    </w:lvl>
    <w:lvl w:ilvl="3" w:tplc="81508198">
      <w:start w:val="1"/>
      <w:numFmt w:val="bullet"/>
      <w:lvlText w:val="●"/>
      <w:lvlJc w:val="left"/>
      <w:pPr>
        <w:ind w:left="2880" w:hanging="360"/>
      </w:pPr>
    </w:lvl>
    <w:lvl w:ilvl="4" w:tplc="24CAB2E4">
      <w:start w:val="1"/>
      <w:numFmt w:val="bullet"/>
      <w:lvlText w:val="○"/>
      <w:lvlJc w:val="left"/>
      <w:pPr>
        <w:ind w:left="3600" w:hanging="360"/>
      </w:pPr>
    </w:lvl>
    <w:lvl w:ilvl="5" w:tplc="7E4EEA50">
      <w:start w:val="1"/>
      <w:numFmt w:val="bullet"/>
      <w:lvlText w:val="■"/>
      <w:lvlJc w:val="left"/>
      <w:pPr>
        <w:ind w:left="4320" w:hanging="360"/>
      </w:pPr>
    </w:lvl>
    <w:lvl w:ilvl="6" w:tplc="9C80693A">
      <w:start w:val="1"/>
      <w:numFmt w:val="bullet"/>
      <w:lvlText w:val="●"/>
      <w:lvlJc w:val="left"/>
      <w:pPr>
        <w:ind w:left="5040" w:hanging="360"/>
      </w:pPr>
    </w:lvl>
    <w:lvl w:ilvl="7" w:tplc="6C603578">
      <w:start w:val="1"/>
      <w:numFmt w:val="bullet"/>
      <w:lvlText w:val="●"/>
      <w:lvlJc w:val="left"/>
      <w:pPr>
        <w:ind w:left="5760" w:hanging="360"/>
      </w:pPr>
    </w:lvl>
    <w:lvl w:ilvl="8" w:tplc="A5646CA2">
      <w:start w:val="1"/>
      <w:numFmt w:val="bullet"/>
      <w:lvlText w:val="●"/>
      <w:lvlJc w:val="left"/>
      <w:pPr>
        <w:ind w:left="6480" w:hanging="360"/>
      </w:pPr>
    </w:lvl>
  </w:abstractNum>
  <w:num w:numId="1" w16cid:durableId="1368292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9F"/>
    <w:rsid w:val="00034640"/>
    <w:rsid w:val="00216673"/>
    <w:rsid w:val="003F2DAF"/>
    <w:rsid w:val="00417B23"/>
    <w:rsid w:val="004A7404"/>
    <w:rsid w:val="005D334E"/>
    <w:rsid w:val="00A713F7"/>
    <w:rsid w:val="00D1669F"/>
    <w:rsid w:val="00E96AD1"/>
    <w:rsid w:val="00FC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451A"/>
  <w15:docId w15:val="{A5954C83-0924-0F41-94EF-92594684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Wang, Aaron</cp:lastModifiedBy>
  <cp:revision>12</cp:revision>
  <dcterms:created xsi:type="dcterms:W3CDTF">2026-07-06T02:32:00Z</dcterms:created>
  <dcterms:modified xsi:type="dcterms:W3CDTF">2026-07-08T05:31:00Z</dcterms:modified>
</cp:coreProperties>
</file>