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91e27520981240e72afbc255e1fc4a6e21120ea"/>
    <w:p>
      <w:pPr>
        <w:pStyle w:val="Heading1"/>
      </w:pPr>
      <w:r>
        <w:t xml:space="preserve">Literature Review: Plasticity Loss in Deep RL — Definitions, Metrics, ReDo, and Effective Rank</w:t>
      </w:r>
    </w:p>
    <w:p>
      <w:pPr>
        <w:pStyle w:val="FirstParagraph"/>
      </w:pPr>
      <w:r>
        <w:rPr>
          <w:iCs/>
          <w:i/>
        </w:rPr>
        <w:t xml:space="preserve">Person 3 topic: the deep-RL plasticity foundations our</w:t>
      </w:r>
      <w:r>
        <w:rPr>
          <w:iCs/>
          <w:i/>
        </w:rPr>
        <w:t xml:space="preserve"> </w:t>
      </w:r>
      <m:oMath>
        <m:r>
          <m:t>Q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metrics, bake-off, and Task-5 interventions are built on. Complements Arnav’s RLVR-dynamics review (P1 Klein survey, P2 Dohare) by drilling into the primary sources behind that survey, and Ellie’s continual-learning review by covering the plasticity-side vocabulary that her confounds/forgetting side pairs with. Cross-references §2 (Definitions), §9 (Metrics), and Task 5 of the proposal.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These papers give us the toolkit. Four things matter for us.</w:t>
      </w:r>
      <w:r>
        <w:t xml:space="preserve"> </w:t>
      </w:r>
      <w:r>
        <w:rPr>
          <w:bCs/>
          <w:b/>
        </w:rPr>
        <w:t xml:space="preserve">(1)</w:t>
      </w:r>
      <w:r>
        <w:t xml:space="preserve"> </w:t>
      </w:r>
      <w:r>
        <w:t xml:space="preserve">Plasticity loss has a clean operational definition — the gap between a freshly-initialized network and a continually-trained one on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new task (Dohare et al.) — and our stall label (fraction of the from-scratch gain achieved) is a direct instantiation of it.</w:t>
      </w:r>
      <w:r>
        <w:t xml:space="preserve"> </w:t>
      </w:r>
      <w:r>
        <w:rPr>
          <w:bCs/>
          <w:b/>
        </w:rPr>
        <w:t xml:space="preserve">(2)</w:t>
      </w:r>
      <w:r>
        <w:t xml:space="preserve"> </w:t>
      </w:r>
      <w:r>
        <w:t xml:space="preserve">It is measured by several partly-correlated metrics — effective rank, dormant-neuron ratio, dead-unit fraction, weight-norm growth, loss-landscape curvature — and the recurring finding (Klein survey; Plasticine; Lyle 2023) is that</w:t>
      </w:r>
      <w:r>
        <w:t xml:space="preserve"> </w:t>
      </w:r>
      <w:r>
        <w:rPr>
          <w:iCs/>
          <w:i/>
        </w:rPr>
        <w:t xml:space="preserve">no single metric is sufficient</w:t>
      </w:r>
      <w:r>
        <w:t xml:space="preserve">, which is exactly what validates a bake-off design and our decision to report several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variants.</w:t>
      </w:r>
      <w:r>
        <w:t xml:space="preserve"> </w:t>
      </w:r>
      <w:r>
        <w:rPr>
          <w:bCs/>
          <w:b/>
        </w:rPr>
        <w:t xml:space="preserve">(3)</w:t>
      </w:r>
      <w:r>
        <w:t xml:space="preserve"> </w:t>
      </w:r>
      <w:r>
        <w:t xml:space="preserve">The canonical interventions — ReDo (dormant-neuron recycling) and L2-Init / regenerative regularization (weight anchoring) — are precisely our Task-5 candidates, and the L2-Init lineage is the same Fisher/Euclidean-anchor logic behind our KL-as-regularizer note.</w:t>
      </w:r>
      <w:r>
        <w:t xml:space="preserve"> </w:t>
      </w:r>
      <w:r>
        <w:rPr>
          <w:bCs/>
          <w:b/>
        </w:rPr>
        <w:t xml:space="preserve">(4)</w:t>
      </w:r>
      <w:r>
        <w:t xml:space="preserve"> </w:t>
      </w:r>
      <w:r>
        <w:t xml:space="preserve">Every foundational paper flags the same open problem: these diagnostics were defined on small MLP/CNN + ReLU networks in game-playing RL, and their transfer to transformers/LLMs is untested — which is both our setting and our small methodological contribution.</w:t>
      </w:r>
    </w:p>
    <w:p>
      <w:pPr>
        <w:pStyle w:val="BodyText"/>
      </w:pPr>
      <w:r>
        <w:t xml:space="preserve">The one caution: mitigations are setting-dependent. CReLU and plasticity injection, which work off-policy, do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transfer to on-policy RL; continual regularizers (L2-Init, LayerNorm) are the more robust bet (A Study of Plasticity Loss in On-Policy Deep RL, 2024). This directly informs which Task-5 intervention we lead with.</w:t>
      </w:r>
    </w:p>
    <w:bookmarkEnd w:id="20"/>
    <w:bookmarkStart w:id="21" w:name="definitions-of-plasticity-loss"/>
    <w:p>
      <w:pPr>
        <w:pStyle w:val="Heading2"/>
      </w:pPr>
      <w:r>
        <w:t xml:space="preserve">1. Definitions of Plasticity Loss</w:t>
      </w:r>
    </w:p>
    <w:p>
      <w:pPr>
        <w:pStyle w:val="FirstParagraph"/>
      </w:pPr>
      <w:r>
        <w:rPr>
          <w:bCs/>
          <w:b/>
        </w:rPr>
        <w:t xml:space="preserve">Plasticity</w:t>
      </w:r>
      <w:r>
        <w:t xml:space="preserve"> </w:t>
      </w:r>
      <w:r>
        <w:t xml:space="preserve">is a network’s ability to keep changing its predictions in response to new information;</w:t>
      </w:r>
      <w:r>
        <w:t xml:space="preserve"> </w:t>
      </w:r>
      <w:r>
        <w:rPr>
          <w:bCs/>
          <w:b/>
        </w:rPr>
        <w:t xml:space="preserve">loss of plasticity</w:t>
      </w:r>
      <w:r>
        <w:t xml:space="preserve"> </w:t>
      </w:r>
      <w:r>
        <w:t xml:space="preserve">is the progressive erosion of that ability over training, and it appears most robustly under</w:t>
      </w:r>
      <w:r>
        <w:t xml:space="preserve"> </w:t>
      </w:r>
      <w:r>
        <w:rPr>
          <w:iCs/>
          <w:i/>
        </w:rPr>
        <w:t xml:space="preserve">non-stationary</w:t>
      </w:r>
      <w:r>
        <w:t xml:space="preserve"> </w:t>
      </w:r>
      <w:r>
        <w:t xml:space="preserve">targets — the regime</w:t>
      </w:r>
      <w:r>
        <w:t xml:space="preserve"> </w:t>
      </w:r>
      <w:r>
        <w:t xml:space="preserve">“</w:t>
      </w:r>
      <w:r>
        <w:t xml:space="preserve">baked into the way deep RL agents are trained</w:t>
      </w:r>
      <w:r>
        <w:t xml:space="preserve">”</w:t>
      </w:r>
      <w:r>
        <w:t xml:space="preserve"> </w:t>
      </w:r>
      <w:r>
        <w:t xml:space="preserve">(Lyle et al., 2023). Two definitional anchors: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Operational (Dohare et al., Nature 2024).</w:t>
      </w:r>
      <w:r>
        <w:t xml:space="preserve"> </w:t>
      </w:r>
      <w:r>
        <w:t xml:space="preserve">Plasticity loss is the growing gap, at each new task, between a network trained from scratch on that task and the continually-trained network, at matched budget. This is the definition we adopt: our stall label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fraction of the from-scratch gain the staged run achieves, i.e. a savings-style measure of exactly this gap.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Unifying (Abbas et al., 2023).</w:t>
      </w:r>
      <w:r>
        <w:t xml:space="preserve"> </w:t>
      </w:r>
      <w:r>
        <w:t xml:space="preserve">What prior work calls</w:t>
      </w:r>
      <w:r>
        <w:t xml:space="preserve"> </w:t>
      </w:r>
      <w:r>
        <w:rPr>
          <w:iCs/>
          <w:i/>
        </w:rPr>
        <w:t xml:space="preserve">loss of plasticity, implicit under-parameterization, primacy bias,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capacity loss</w:t>
      </w:r>
      <w:r>
        <w:t xml:space="preserve"> </w:t>
      </w:r>
      <w:r>
        <w:t xml:space="preserve">are facets of one phenomenon — an agent cycling through tasks progressively losing the ability to learn good policies. This matters for us because it licenses treating our three pathologies (stall, diversity collapse, future-learnability loss) as candidate facets of a shared capacity-loss cause — our mediation hypothesis.</w:t>
      </w:r>
    </w:p>
    <w:p>
      <w:pPr>
        <w:pStyle w:val="FirstParagraph"/>
      </w:pPr>
      <w:r>
        <w:t xml:space="preserve">Distinct from</w:t>
      </w:r>
      <w:r>
        <w:t xml:space="preserve"> </w:t>
      </w:r>
      <w:r>
        <w:rPr>
          <w:bCs/>
          <w:b/>
        </w:rPr>
        <w:t xml:space="preserve">catastrophic forgetting</w:t>
      </w:r>
      <w:r>
        <w:t xml:space="preserve"> </w:t>
      </w:r>
      <w:r>
        <w:t xml:space="preserve">(Ellie’s topic): forgetting is losing</w:t>
      </w:r>
      <w:r>
        <w:t xml:space="preserve"> </w:t>
      </w:r>
      <w:r>
        <w:rPr>
          <w:iCs/>
          <w:i/>
        </w:rPr>
        <w:t xml:space="preserve">old</w:t>
      </w:r>
      <w:r>
        <w:t xml:space="preserve"> </w:t>
      </w:r>
      <w:r>
        <w:t xml:space="preserve">skills; plasticity loss is losing the ability to acquire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ones. The two share the stability–plasticity dilemma but are separable failure modes, and our relearning battery is designed to tell them apart.</w:t>
      </w:r>
    </w:p>
    <w:bookmarkEnd w:id="21"/>
    <w:bookmarkStart w:id="22" w:name="metrics-with-definitions"/>
    <w:p>
      <w:pPr>
        <w:pStyle w:val="Heading2"/>
      </w:pPr>
      <w:r>
        <w:t xml:space="preserve">2. Metrics (with definitions)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Effective rank — two variants.</w:t>
      </w:r>
      <w:r>
        <w:t xml:space="preserve"> </w:t>
      </w:r>
      <w:r>
        <w:t xml:space="preserve">(i)</w:t>
      </w:r>
      <w:r>
        <w:t xml:space="preserve"> </w:t>
      </w:r>
      <w:r>
        <w:rPr>
          <w:iCs/>
          <w:i/>
        </w:rPr>
        <w:t xml:space="preserve">srank</w:t>
      </w:r>
      <w:r>
        <w:t xml:space="preserve"> </w:t>
      </w:r>
      <w:r>
        <w:t xml:space="preserve">(Kumar et al. 2021, after Yang et al. 2019):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k</m:t>
            </m:r>
          </m:e>
          <m:sub>
            <m:r>
              <m:t>δ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Φ</m:t>
            </m:r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k</m:t>
        </m:r>
        <m:r>
          <m:rPr>
            <m:sty m:val="p"/>
          </m:rPr>
          <m:t>:</m:t>
        </m:r>
        <m:r>
          <m:t> 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σ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0.01</m:t>
        </m:r>
      </m:oMath>
      <w:r>
        <w:t xml:space="preserve">, on the penultimate feature matrix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— the number of singular directions holding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the spectral mass. (ii)</w:t>
      </w:r>
      <w:r>
        <w:t xml:space="preserve"> </w:t>
      </w:r>
      <w:r>
        <w:rPr>
          <w:iCs/>
          <w:i/>
        </w:rPr>
        <w:t xml:space="preserve">Entropy effective rank</w:t>
      </w:r>
      <w:r>
        <w:t xml:space="preserve"> </w:t>
      </w:r>
      <w:r>
        <w:t xml:space="preserve">(Roy &amp; Vetterli 2007; used by Dohare and by us):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σ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. Both fall as the representation collapses onto fewer directions.</w:t>
      </w:r>
      <w:r>
        <w:t xml:space="preserve"> </w:t>
      </w:r>
      <w:r>
        <w:rPr>
          <w:bCs/>
          <w:b/>
        </w:rPr>
        <w:t xml:space="preserve">Our proposal uses (ii); we should state this explicitly since the RL literature usually means (i).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Dormant-neuron ratio (Sokar et al. 2023).</w:t>
      </w:r>
      <w:r>
        <w:t xml:space="preserve"> </w:t>
      </w:r>
      <w:r>
        <w:t xml:space="preserve">Neuron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layer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has normalized score</w:t>
      </w:r>
      <w:r>
        <w:t xml:space="preserve"> </w:t>
      </w:r>
      <m:oMath>
        <m:sSubSup>
          <m:e>
            <m:r>
              <m:t>s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ℓ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  <m:scr m:val="double-struck"/>
              </m:rPr>
              <m:t>E</m:t>
            </m:r>
          </m:e>
          <m:sub>
            <m:r>
              <m:t>x</m:t>
            </m:r>
          </m:sub>
        </m:sSub>
        <m:d>
          <m:dPr>
            <m:begChr m:val="|"/>
            <m:endChr m:val="|"/>
            <m:sepChr m:val=""/>
            <m:grow/>
          </m:dPr>
          <m:e>
            <m:sSubSup>
              <m:e>
                <m:r>
                  <m:t>h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ℓ</m:t>
                </m:r>
              </m:sup>
            </m:sSubSup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/</m:t>
        </m:r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ℓ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rPr>
                    <m:sty m:val="p"/>
                    <m:scr m:val="double-struck"/>
                  </m:rPr>
                  <m:t>E</m:t>
                </m:r>
              </m:e>
              <m:sub>
                <m:r>
                  <m:t>x</m:t>
                </m:r>
              </m:sub>
            </m:sSub>
          </m:e>
        </m:nary>
        <m:d>
          <m:dPr>
            <m:begChr m:val="|"/>
            <m:endChr m:val="|"/>
            <m:sepChr m:val=""/>
            <m:grow/>
          </m:dPr>
          <m:e>
            <m:sSubSup>
              <m:e>
                <m:r>
                  <m:t>h</m:t>
                </m:r>
              </m:e>
              <m:sub>
                <m:r>
                  <m:t>k</m:t>
                </m:r>
              </m:sub>
              <m:sup>
                <m:r>
                  <m:rPr>
                    <m:sty m:val="p"/>
                  </m:rPr>
                  <m:t>ℓ</m:t>
                </m:r>
              </m:sup>
            </m:sSubSup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; it is</w:t>
      </w:r>
      <w:r>
        <w:t xml:space="preserve"> </w:t>
      </w:r>
      <m:oMath>
        <m:r>
          <m:t>τ</m:t>
        </m:r>
      </m:oMath>
      <w:r>
        <w:t xml:space="preserve">-dormant if</w:t>
      </w:r>
      <w:r>
        <w:t xml:space="preserve"> </w:t>
      </w:r>
      <m:oMath>
        <m:sSubSup>
          <m:e>
            <m:r>
              <m:t>s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ℓ</m:t>
            </m:r>
          </m:sup>
        </m:sSubSup>
        <m:r>
          <m:rPr>
            <m:sty m:val="p"/>
          </m:rPr>
          <m:t>≤</m:t>
        </m:r>
        <m:r>
          <m:t>τ</m:t>
        </m:r>
      </m:oMath>
      <w:r>
        <w:t xml:space="preserve">. The dormant fraction is the share of such units. (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strictly dead; small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captures near-silent units.)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Dead-unit fraction</w:t>
      </w:r>
      <w:r>
        <w:t xml:space="preserve"> </w:t>
      </w:r>
      <w:r>
        <w:t xml:space="preserve">(ReLU-specific): units that output zero on all inputs — a special case that blocks gradient flow.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Weight-norm growth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loss-landscape curvature</w:t>
      </w:r>
      <w:r>
        <w:t xml:space="preserve"> </w:t>
      </w:r>
      <w:r>
        <w:t xml:space="preserve">(Lyle et al. 2023): parameter-norm growth ill-conditions the Hessian; curvature change is a deeper correlate. Crucially, Lyle et al. show plasticity loss often occurs</w:t>
      </w:r>
      <w:r>
        <w:t xml:space="preserve"> </w:t>
      </w:r>
      <w:r>
        <w:rPr>
          <w:iCs/>
          <w:i/>
        </w:rPr>
        <w:t xml:space="preserve">in the absence of saturated units</w:t>
      </w:r>
      <w:r>
        <w:t xml:space="preserve">, so dead-unit and norm metrics are not the whole story — which is exactly why our proposal demotes weight/gradient norm to a cheap</w:t>
      </w:r>
      <w:r>
        <w:t xml:space="preserve"> </w:t>
      </w:r>
      <w:r>
        <w:rPr>
          <w:bCs/>
          <w:b/>
        </w:rPr>
        <w:t xml:space="preserve">auxiliary</w:t>
      </w:r>
      <w:r>
        <w:t xml:space="preserve"> </w:t>
      </w:r>
      <w:r>
        <w:t xml:space="preserve">signal rather than a headline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Churn / NTK rank</w:t>
      </w:r>
      <w:r>
        <w:t xml:space="preserve"> </w:t>
      </w:r>
      <w:r>
        <w:t xml:space="preserve">(Tang et al., Arnav’s P4): output volatility on held-out data — an alternative diagnostic family we should acknowledge as a competing predictor.</w:t>
      </w:r>
    </w:p>
    <w:p>
      <w:pPr>
        <w:pStyle w:val="FirstParagraph"/>
      </w:pPr>
      <w:r>
        <w:rPr>
          <w:bCs/>
          <w:b/>
        </w:rPr>
        <w:t xml:space="preserve">The consensus that motivates the bake-off:</w:t>
      </w:r>
      <w:r>
        <w:t xml:space="preserve"> </w:t>
      </w:r>
      <w:r>
        <w:t xml:space="preserve">the Klein survey (Arnav P1) and Plasticine (Arnav P3) both find no single metric reliably predicts performance across settings, and that dormant ratio and effective rank are</w:t>
      </w:r>
      <w:r>
        <w:t xml:space="preserve"> </w:t>
      </w:r>
      <w:r>
        <w:rPr>
          <w:iCs/>
          <w:i/>
        </w:rPr>
        <w:t xml:space="preserve">correlated but not causally understood</w:t>
      </w:r>
      <w:r>
        <w:t xml:space="preserve">. Watching several at once is the field’s standard practice — which is our multi-</w:t>
      </w:r>
      <m:oMath>
        <m:r>
          <m:t>Q</m:t>
        </m:r>
      </m:oMath>
      <w:r>
        <w:t xml:space="preserve"> </w:t>
      </w:r>
      <w:r>
        <w:t xml:space="preserve">design, and the reason our ablation asks whether an ensemble beats any single metric.</w:t>
      </w:r>
    </w:p>
    <w:bookmarkEnd w:id="22"/>
    <w:bookmarkStart w:id="29" w:name="key-papers"/>
    <w:p>
      <w:pPr>
        <w:pStyle w:val="Heading2"/>
      </w:pPr>
      <w:r>
        <w:t xml:space="preserve">3. Key Papers</w:t>
      </w:r>
    </w:p>
    <w:bookmarkStart w:id="23" w:name="X62f904666d3503547b5b96a1ee818e75d474dc2"/>
    <w:p>
      <w:pPr>
        <w:pStyle w:val="Heading3"/>
      </w:pPr>
      <w:r>
        <w:t xml:space="preserve">3.1 Implicit Under-Parameterization Inhibits Data-Efficient Deep RL — Kumar, Agarwal, Ghosh, Levine (ICLR 2021, arXiv 2010.14498)</w:t>
      </w:r>
    </w:p>
    <w:p>
      <w:pPr>
        <w:pStyle w:val="FirstParagraph"/>
      </w:pPr>
      <w:r>
        <w:rPr>
          <w:bCs/>
          <w:b/>
        </w:rPr>
        <w:t xml:space="preserve">Method.</w:t>
      </w:r>
      <w:r>
        <w:t xml:space="preserve"> </w:t>
      </w:r>
      <w:r>
        <w:t xml:space="preserve">Identifies that value-based RL using bootstrapping (iterated regression onto targets from a previous network) implicitly reduces the</w:t>
      </w:r>
      <w:r>
        <w:t xml:space="preserve"> </w:t>
      </w:r>
      <w:r>
        <w:rPr>
          <w:iCs/>
          <w:i/>
        </w:rPr>
        <w:t xml:space="preserve">effective rank</w:t>
      </w:r>
      <w:r>
        <w:t xml:space="preserve"> </w:t>
      </w:r>
      <w:r>
        <w:t xml:space="preserve">of the penultimate features as more gradient steps are taken — a</w:t>
      </w:r>
      <w:r>
        <w:t xml:space="preserve"> </w:t>
      </w:r>
      <w:r>
        <w:t xml:space="preserve">“</w:t>
      </w:r>
      <w:r>
        <w:t xml:space="preserve">pathological interaction between bootstrapping and gradient-based optimization.</w:t>
      </w:r>
      <w:r>
        <w:t xml:space="preserve">”</w:t>
      </w:r>
      <w:r>
        <w:t xml:space="preserve"> </w:t>
      </w:r>
      <w:r>
        <w:t xml:space="preserve">Introduces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k</m:t>
            </m:r>
          </m:e>
          <m:sub>
            <m:r>
              <m:t>δ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Φ</m:t>
            </m:r>
          </m:e>
        </m:d>
      </m:oMath>
      <w:r>
        <w:t xml:space="preserve"> </w:t>
      </w:r>
      <w:r>
        <w:t xml:space="preserve">as the diagnostic and shows mitigating rank collapse improves performance.</w:t>
      </w:r>
      <w:r>
        <w:t xml:space="preserve"> </w:t>
      </w:r>
      <w:r>
        <w:rPr>
          <w:bCs/>
          <w:b/>
        </w:rPr>
        <w:t xml:space="preserve">Setup.</w:t>
      </w:r>
      <w:r>
        <w:t xml:space="preserve"> </w:t>
      </w:r>
      <w:r>
        <w:t xml:space="preserve">Neural FQI on gridworld; DQN on Atari; SAC on Gym; both offline and online. Rank collapse worsens with more gradient steps per fitting iteration and persists even with 4× data; CQL controls confirm it is not a distribution-mismatch artifact.</w:t>
      </w:r>
      <w:r>
        <w:t xml:space="preserve"> </w:t>
      </w:r>
      <w:r>
        <w:rPr>
          <w:bCs/>
          <w:b/>
        </w:rPr>
        <w:t xml:space="preserve">Metrics.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k</m:t>
            </m:r>
          </m:e>
          <m:sub>
            <m:r>
              <m:t>δ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Φ</m:t>
            </m:r>
          </m:e>
        </m:d>
      </m:oMath>
      <w:r>
        <w:t xml:space="preserve"> </w:t>
      </w:r>
      <w:r>
        <w:t xml:space="preserve">(primary); policy performance vs. srank.</w:t>
      </w:r>
      <w:r>
        <w:t xml:space="preserve"> </w:t>
      </w:r>
      <w:r>
        <w:rPr>
          <w:bCs/>
          <w:b/>
        </w:rPr>
        <w:t xml:space="preserve">Datasets.</w:t>
      </w:r>
      <w:r>
        <w:t xml:space="preserve"> </w:t>
      </w:r>
      <w:r>
        <w:t xml:space="preserve">Atari (ALE), Gym (MuJoCo), gridworld.</w:t>
      </w:r>
      <w:r>
        <w:t xml:space="preserve"> </w:t>
      </w:r>
      <w:r>
        <w:rPr>
          <w:bCs/>
          <w:b/>
        </w:rPr>
        <w:t xml:space="preserve">Future directions.</w:t>
      </w:r>
      <w:r>
        <w:t xml:space="preserve"> </w:t>
      </w:r>
      <w:r>
        <w:t xml:space="preserve">Better architectural/optimization fixes for rank collapse; understanding the bootstrapping interaction.</w:t>
      </w:r>
      <w:r>
        <w:t xml:space="preserve"> </w:t>
      </w:r>
      <w:r>
        <w:rPr>
          <w:bCs/>
          <w:b/>
        </w:rPr>
        <w:t xml:space="preserve">Weaknesses.</w:t>
      </w:r>
      <w:r>
        <w:t xml:space="preserve"> </w:t>
      </w:r>
      <w:r>
        <w:t xml:space="preserve">Value-based/bootstrapped setting specifically (RLVR is policy-gradient, so the exact mechanism may differ); MLP/CNN features; srank requires an SVD of the feature matrix per checkpoint, nontrivial at transformer scale.</w:t>
      </w:r>
    </w:p>
    <w:bookmarkEnd w:id="23"/>
    <w:bookmarkStart w:id="24" w:name="Xfdf818d325c53d294280923fddc05fa11a3608a"/>
    <w:p>
      <w:pPr>
        <w:pStyle w:val="Heading3"/>
      </w:pPr>
      <w:r>
        <w:t xml:space="preserve">3.2 The Dormant Neuron Phenomenon in Deep RL (ReDo) — Sokar, Agarwal, Castro, Evci (ICML 2023, arXiv 2302.12902)</w:t>
      </w:r>
    </w:p>
    <w:p>
      <w:pPr>
        <w:pStyle w:val="FirstParagraph"/>
      </w:pPr>
      <w:r>
        <w:rPr>
          <w:bCs/>
          <w:b/>
        </w:rPr>
        <w:t xml:space="preserve">Method.</w:t>
      </w:r>
      <w:r>
        <w:t xml:space="preserve"> </w:t>
      </w:r>
      <w:r>
        <w:t xml:space="preserve">Identifies the</w:t>
      </w:r>
      <w:r>
        <w:t xml:space="preserve"> </w:t>
      </w:r>
      <w:r>
        <w:rPr>
          <w:iCs/>
          <w:i/>
        </w:rPr>
        <w:t xml:space="preserve">dormant neuron phenomenon</w:t>
      </w:r>
      <w:r>
        <w:t xml:space="preserve"> </w:t>
      </w:r>
      <w:r>
        <w:t xml:space="preserve">— an increasing fraction of inactive units during RL training that reduces expressivity/plasticity — and proposes</w:t>
      </w:r>
      <w:r>
        <w:t xml:space="preserve"> </w:t>
      </w:r>
      <w:r>
        <w:rPr>
          <w:bCs/>
          <w:b/>
        </w:rPr>
        <w:t xml:space="preserve">ReDo</w:t>
      </w:r>
      <w:r>
        <w:t xml:space="preserve">, which periodically</w:t>
      </w:r>
      <w:r>
        <w:t xml:space="preserve"> </w:t>
      </w:r>
      <w:r>
        <w:rPr>
          <w:bCs/>
          <w:b/>
        </w:rPr>
        <w:t xml:space="preserve">recycles</w:t>
      </w:r>
      <w:r>
        <w:t xml:space="preserve"> </w:t>
      </w:r>
      <w:r>
        <w:t xml:space="preserve">dormant neurons by re-initializing their incoming weights and zeroing their outgoing weights (plus resetting optimizer moments). Unlike full network resets (Nikishin 2022), it avoids the post-reset performance dip.</w:t>
      </w:r>
      <w:r>
        <w:t xml:space="preserve"> </w:t>
      </w:r>
      <w:r>
        <w:rPr>
          <w:bCs/>
          <w:b/>
        </w:rPr>
        <w:t xml:space="preserve">Setup.</w:t>
      </w:r>
      <w:r>
        <w:t xml:space="preserve"> </w:t>
      </w:r>
      <w:r>
        <w:t xml:space="preserve">DQN and variants at high replay ratios (where plasticity loss is severe); compared against network resets and weight decay.</w:t>
      </w:r>
      <w:r>
        <w:t xml:space="preserve"> </w:t>
      </w:r>
      <w:r>
        <w:rPr>
          <w:bCs/>
          <w:b/>
        </w:rPr>
        <w:t xml:space="preserve">Metrics.</w:t>
      </w:r>
      <w:r>
        <w:t xml:space="preserve"> </w:t>
      </w:r>
      <w:r>
        <w:t xml:space="preserve">Dormant-neuron fraction (Definition 3.1, above); IQM human-normalized score.</w:t>
      </w:r>
      <w:r>
        <w:t xml:space="preserve"> </w:t>
      </w:r>
      <w:r>
        <w:rPr>
          <w:bCs/>
          <w:b/>
        </w:rPr>
        <w:t xml:space="preserve">Datasets.</w:t>
      </w:r>
      <w:r>
        <w:t xml:space="preserve"> </w:t>
      </w:r>
      <w:r>
        <w:t xml:space="preserve">17 Atari games (ALE), 5 runs each.</w:t>
      </w:r>
      <w:r>
        <w:t xml:space="preserve"> </w:t>
      </w:r>
      <w:r>
        <w:rPr>
          <w:bCs/>
          <w:b/>
        </w:rPr>
        <w:t xml:space="preserve">Future directions.</w:t>
      </w:r>
      <w:r>
        <w:t xml:space="preserve"> </w:t>
      </w:r>
      <w:r>
        <w:t xml:space="preserve">Alternate recycling criteria; interaction with architecture.</w:t>
      </w:r>
      <w:r>
        <w:t xml:space="preserve"> </w:t>
      </w:r>
      <w:r>
        <w:rPr>
          <w:bCs/>
          <w:b/>
        </w:rPr>
        <w:t xml:space="preserve">Weaknesses.</w:t>
      </w:r>
      <w:r>
        <w:t xml:space="preserve"> </w:t>
      </w:r>
      <w:r>
        <w:t xml:space="preserve">Dormant score defined for ReLU MLP/CNN units — attention/FFN blocks with GELU/SwiGLU need a redefinition (which units count?); recycling is a per-neuron intervention whose utility heuristic is somewhat ad hoc. This is exactly our Task-5 dormant-reset candidate and the source of our</w:t>
      </w:r>
      <w:r>
        <w:t xml:space="preserve"> </w:t>
      </w:r>
      <w:r>
        <w:t xml:space="preserve">“</w:t>
      </w:r>
      <m:oMath>
        <m:r>
          <m:t>Q</m:t>
        </m:r>
      </m:oMath>
      <w:r>
        <w:t xml:space="preserve">-for-transformers is not standardized</w:t>
      </w:r>
      <w:r>
        <w:t xml:space="preserve">”</w:t>
      </w:r>
      <w:r>
        <w:t xml:space="preserve"> </w:t>
      </w:r>
      <w:r>
        <w:t xml:space="preserve">limitation.</w:t>
      </w:r>
    </w:p>
    <w:bookmarkEnd w:id="24"/>
    <w:bookmarkStart w:id="25" w:name="X99be0ce62c00598e22606452e49ac3b87e45f03"/>
    <w:p>
      <w:pPr>
        <w:pStyle w:val="Heading3"/>
      </w:pPr>
      <w:r>
        <w:t xml:space="preserve">3.3 Understanding and Preventing Capacity Loss in RL — Lyle, Rowland, Dabney (ICLR 2022, arXiv 2204.09560)</w:t>
      </w:r>
    </w:p>
    <w:p>
      <w:pPr>
        <w:pStyle w:val="FirstParagraph"/>
      </w:pPr>
      <w:r>
        <w:rPr>
          <w:bCs/>
          <w:b/>
        </w:rPr>
        <w:t xml:space="preserve">Method.</w:t>
      </w:r>
      <w:r>
        <w:t xml:space="preserve"> </w:t>
      </w:r>
      <w:r>
        <w:t xml:space="preserve">Defines</w:t>
      </w:r>
      <w:r>
        <w:t xml:space="preserve"> </w:t>
      </w:r>
      <w:r>
        <w:rPr>
          <w:iCs/>
          <w:i/>
        </w:rPr>
        <w:t xml:space="preserve">capacity loss</w:t>
      </w:r>
      <w:r>
        <w:t xml:space="preserve"> </w:t>
      </w:r>
      <w:r>
        <w:t xml:space="preserve">as a network’s declining ability to fit new target functions over training, links it to feature-rank collapse, and proposes</w:t>
      </w:r>
      <w:r>
        <w:t xml:space="preserve"> </w:t>
      </w:r>
      <w:r>
        <w:rPr>
          <w:bCs/>
          <w:b/>
        </w:rPr>
        <w:t xml:space="preserve">InFeR</w:t>
      </w:r>
      <w:r>
        <w:t xml:space="preserve"> </w:t>
      </w:r>
      <w:r>
        <w:t xml:space="preserve">(Initial Feature Regularization) — auxiliary output heads regularized toward their initial values to preserve feature rank/capacity.</w:t>
      </w:r>
      <w:r>
        <w:t xml:space="preserve"> </w:t>
      </w:r>
      <w:r>
        <w:rPr>
          <w:bCs/>
          <w:b/>
        </w:rPr>
        <w:t xml:space="preserve">Setup.</w:t>
      </w:r>
      <w:r>
        <w:t xml:space="preserve"> </w:t>
      </w:r>
      <w:r>
        <w:t xml:space="preserve">Atari and controlled target-fitting probes; shows capacity loss predicts degraded learning and that InFeR mitigates it.</w:t>
      </w:r>
      <w:r>
        <w:t xml:space="preserve"> </w:t>
      </w:r>
      <w:r>
        <w:rPr>
          <w:bCs/>
          <w:b/>
        </w:rPr>
        <w:t xml:space="preserve">Metrics.</w:t>
      </w:r>
      <w:r>
        <w:t xml:space="preserve"> </w:t>
      </w:r>
      <w:r>
        <w:t xml:space="preserve">Feature rank; ability to fit fresh target functions (a capacity probe close in spirit to our future-learning probe).</w:t>
      </w:r>
      <w:r>
        <w:t xml:space="preserve"> </w:t>
      </w:r>
      <w:r>
        <w:rPr>
          <w:bCs/>
          <w:b/>
        </w:rPr>
        <w:t xml:space="preserve">Datasets.</w:t>
      </w:r>
      <w:r>
        <w:t xml:space="preserve"> </w:t>
      </w:r>
      <w:r>
        <w:t xml:space="preserve">Atari (ALE), synthetic target-fitting tasks.</w:t>
      </w:r>
      <w:r>
        <w:t xml:space="preserve"> </w:t>
      </w:r>
      <w:r>
        <w:rPr>
          <w:bCs/>
          <w:b/>
        </w:rPr>
        <w:t xml:space="preserve">Future directions.</w:t>
      </w:r>
      <w:r>
        <w:t xml:space="preserve"> </w:t>
      </w:r>
      <w:r>
        <w:t xml:space="preserve">Better capacity-preserving regularizers; connecting capacity to generalization.</w:t>
      </w:r>
      <w:r>
        <w:t xml:space="preserve"> </w:t>
      </w:r>
      <w:r>
        <w:rPr>
          <w:bCs/>
          <w:b/>
        </w:rPr>
        <w:t xml:space="preserve">Weaknesses.</w:t>
      </w:r>
      <w:r>
        <w:t xml:space="preserve"> </w:t>
      </w:r>
      <w:r>
        <w:t xml:space="preserve">Value-based RL, small nets; the</w:t>
      </w:r>
      <w:r>
        <w:t xml:space="preserve"> </w:t>
      </w:r>
      <w:r>
        <w:t xml:space="preserve">“</w:t>
      </w:r>
      <w:r>
        <w:t xml:space="preserve">fit new targets</w:t>
      </w:r>
      <w:r>
        <w:t xml:space="preserve">”</w:t>
      </w:r>
      <w:r>
        <w:t xml:space="preserve"> </w:t>
      </w:r>
      <w:r>
        <w:t xml:space="preserve">probe is a supervised proxy that may not map cleanly onto multi-stage RLVR.</w:t>
      </w:r>
    </w:p>
    <w:bookmarkEnd w:id="25"/>
    <w:bookmarkStart w:id="26" w:name="X5463fa744f4116ab4648e5bdf83e6d68789d965"/>
    <w:p>
      <w:pPr>
        <w:pStyle w:val="Heading3"/>
      </w:pPr>
      <w:r>
        <w:t xml:space="preserve">3.4 Understanding Plasticity in Neural Networks — Lyle, Zheng, Nikishin, Avila Pires, Pascanu, Dabney (ICML 2023, arXiv 2303.01486)</w:t>
      </w:r>
    </w:p>
    <w:p>
      <w:pPr>
        <w:pStyle w:val="FirstParagraph"/>
      </w:pPr>
      <w:r>
        <w:rPr>
          <w:bCs/>
          <w:b/>
        </w:rPr>
        <w:t xml:space="preserve">Method.</w:t>
      </w:r>
      <w:r>
        <w:t xml:space="preserve"> </w:t>
      </w:r>
      <w:r>
        <w:t xml:space="preserve">A systematic mechanistic study of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drives plasticity loss. Central finding: plasticity loss is</w:t>
      </w:r>
      <w:r>
        <w:t xml:space="preserve"> </w:t>
      </w:r>
      <w:r>
        <w:t xml:space="preserve">“</w:t>
      </w:r>
      <w:r>
        <w:t xml:space="preserve">deeply connected to changes in the curvature of the loss landscape,</w:t>
      </w:r>
      <w:r>
        <w:t xml:space="preserve">”</w:t>
      </w:r>
      <w:r>
        <w:t xml:space="preserve"> </w:t>
      </w:r>
      <w:r>
        <w:t xml:space="preserve">and it</w:t>
      </w:r>
      <w:r>
        <w:t xml:space="preserve"> </w:t>
      </w:r>
      <w:r>
        <w:t xml:space="preserve">“</w:t>
      </w:r>
      <w:r>
        <w:t xml:space="preserve">often occurs in the absence of saturated units</w:t>
      </w:r>
      <w:r>
        <w:t xml:space="preserve">”</w:t>
      </w:r>
      <w:r>
        <w:t xml:space="preserve"> </w:t>
      </w:r>
      <w:r>
        <w:t xml:space="preserve">— so dead/dormant units are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complete explanation. Identifies parameterization and optimization choices (e.g. LayerNorm, weight regularization) that preserve plasticity. (Later extended to the</w:t>
      </w:r>
      <w:r>
        <w:t xml:space="preserve"> </w:t>
      </w:r>
      <w:r>
        <w:t xml:space="preserve">“</w:t>
      </w:r>
      <w:r>
        <w:t xml:space="preserve">swiss cheese</w:t>
      </w:r>
      <w:r>
        <w:t xml:space="preserve">”</w:t>
      </w:r>
      <w:r>
        <w:t xml:space="preserve"> </w:t>
      </w:r>
      <w:r>
        <w:t xml:space="preserve">multi-pathology view, Lyle et al. 2024.)</w:t>
      </w:r>
      <w:r>
        <w:t xml:space="preserve"> </w:t>
      </w:r>
      <w:r>
        <w:rPr>
          <w:bCs/>
          <w:b/>
        </w:rPr>
        <w:t xml:space="preserve">Setup.</w:t>
      </w:r>
      <w:r>
        <w:t xml:space="preserve"> </w:t>
      </w:r>
      <w:r>
        <w:t xml:space="preserve">Controlled non-stationary regression and RL settings; ablations over activation, normalization, and regularization.</w:t>
      </w:r>
      <w:r>
        <w:t xml:space="preserve"> </w:t>
      </w:r>
      <w:r>
        <w:rPr>
          <w:bCs/>
          <w:b/>
        </w:rPr>
        <w:t xml:space="preserve">Metrics.</w:t>
      </w:r>
      <w:r>
        <w:t xml:space="preserve"> </w:t>
      </w:r>
      <w:r>
        <w:t xml:space="preserve">Curvature/Hessian statistics, dead-unit fraction, weight norm, and learning speed on new targets — jointly.</w:t>
      </w:r>
      <w:r>
        <w:t xml:space="preserve"> </w:t>
      </w:r>
      <w:r>
        <w:rPr>
          <w:bCs/>
          <w:b/>
        </w:rPr>
        <w:t xml:space="preserve">Datasets.</w:t>
      </w:r>
      <w:r>
        <w:t xml:space="preserve"> </w:t>
      </w:r>
      <w:r>
        <w:t xml:space="preserve">Synthetic non-stationary tasks; Atari.</w:t>
      </w:r>
      <w:r>
        <w:t xml:space="preserve"> </w:t>
      </w:r>
      <w:r>
        <w:rPr>
          <w:bCs/>
          <w:b/>
        </w:rPr>
        <w:t xml:space="preserve">Future directions.</w:t>
      </w:r>
      <w:r>
        <w:t xml:space="preserve"> </w:t>
      </w:r>
      <w:r>
        <w:t xml:space="preserve">Targeted interventions per mechanism; understanding curvature’s role.</w:t>
      </w:r>
      <w:r>
        <w:t xml:space="preserve"> </w:t>
      </w:r>
      <w:r>
        <w:rPr>
          <w:bCs/>
          <w:b/>
        </w:rPr>
        <w:t xml:space="preserve">Weaknesses.</w:t>
      </w:r>
      <w:r>
        <w:t xml:space="preserve"> </w:t>
      </w:r>
      <w:r>
        <w:t xml:space="preserve">Curvature metrics are expensive at scale; conclusions from small nets.</w:t>
      </w:r>
      <w:r>
        <w:t xml:space="preserve"> </w:t>
      </w:r>
      <w:r>
        <w:rPr>
          <w:bCs/>
          <w:b/>
        </w:rPr>
        <w:t xml:space="preserve">Directly relevant caveat for us:</w:t>
      </w:r>
      <w:r>
        <w:t xml:space="preserve"> </w:t>
      </w:r>
      <w:r>
        <w:t xml:space="preserve">because plasticity loss can occur without dead units, a detector relying only on dormancy/norm may miss it — an argument for effective rank as primary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for including curvature-adjacent or churn signals as candidates.</w:t>
      </w:r>
    </w:p>
    <w:bookmarkEnd w:id="26"/>
    <w:bookmarkStart w:id="27" w:name="Xf72bf046875c147950192718346f3240319c07a"/>
    <w:p>
      <w:pPr>
        <w:pStyle w:val="Heading3"/>
      </w:pPr>
      <w:r>
        <w:t xml:space="preserve">3.5 Loss of Plasticity in Continual Deep RL — Abbas, Zhao, Modayil, White, Machado (CoLLAs 2023, arXiv 2303.07507)</w:t>
      </w:r>
    </w:p>
    <w:p>
      <w:pPr>
        <w:pStyle w:val="FirstParagraph"/>
      </w:pPr>
      <w:r>
        <w:rPr>
          <w:bCs/>
          <w:b/>
        </w:rPr>
        <w:t xml:space="preserve">Method.</w:t>
      </w:r>
      <w:r>
        <w:t xml:space="preserve"> </w:t>
      </w:r>
      <w:r>
        <w:t xml:space="preserve">Characterizes plasticity loss at scale when a single agent cycles through a</w:t>
      </w:r>
      <w:r>
        <w:t xml:space="preserve"> </w:t>
      </w:r>
      <w:r>
        <w:rPr>
          <w:iCs/>
          <w:i/>
        </w:rPr>
        <w:t xml:space="preserve">sequence</w:t>
      </w:r>
      <w:r>
        <w:t xml:space="preserve"> </w:t>
      </w:r>
      <w:r>
        <w:t xml:space="preserve">of Atari games (the closest game-playing analogue of our multi-stage pipeline). Shows the activation footprint becomes sparser (more dormant units), which drives diminishing gradients and lost learning ability; proposes</w:t>
      </w:r>
      <w:r>
        <w:t xml:space="preserve"> </w:t>
      </w:r>
      <w:r>
        <w:rPr>
          <w:bCs/>
          <w:b/>
        </w:rPr>
        <w:t xml:space="preserve">CReLU</w:t>
      </w:r>
      <w:r>
        <w:t xml:space="preserve"> </w:t>
      </w:r>
      <w:r>
        <w:t xml:space="preserve">(concatenated ReLU) as a simple mitigation that keeps gradients flowing.</w:t>
      </w:r>
      <w:r>
        <w:t xml:space="preserve"> </w:t>
      </w:r>
      <w:r>
        <w:rPr>
          <w:bCs/>
          <w:b/>
        </w:rPr>
        <w:t xml:space="preserve">Setup.</w:t>
      </w:r>
      <w:r>
        <w:t xml:space="preserve"> </w:t>
      </w:r>
      <w:r>
        <w:t xml:space="preserve">Value-based RL cycling through sequences of Atari 2600 games; analyzes weights, gradients, and activations over time, varying game similarity, number of games, and sequence length.</w:t>
      </w:r>
      <w:r>
        <w:t xml:space="preserve"> </w:t>
      </w:r>
      <w:r>
        <w:rPr>
          <w:bCs/>
          <w:b/>
        </w:rPr>
        <w:t xml:space="preserve">Metrics.</w:t>
      </w:r>
      <w:r>
        <w:t xml:space="preserve"> </w:t>
      </w:r>
      <w:r>
        <w:t xml:space="preserve">Dormant/active unit fraction, gradient magnitude, per-game learning speed and return.</w:t>
      </w:r>
      <w:r>
        <w:t xml:space="preserve"> </w:t>
      </w:r>
      <w:r>
        <w:rPr>
          <w:bCs/>
          <w:b/>
        </w:rPr>
        <w:t xml:space="preserve">Datasets.</w:t>
      </w:r>
      <w:r>
        <w:t xml:space="preserve"> </w:t>
      </w:r>
      <w:r>
        <w:t xml:space="preserve">Atari 2600 game sequences (ALE).</w:t>
      </w:r>
      <w:r>
        <w:t xml:space="preserve"> </w:t>
      </w:r>
      <w:r>
        <w:rPr>
          <w:bCs/>
          <w:b/>
        </w:rPr>
        <w:t xml:space="preserve">Future directions.</w:t>
      </w:r>
      <w:r>
        <w:t xml:space="preserve"> </w:t>
      </w:r>
      <w:r>
        <w:t xml:space="preserve">Scaling the analysis; interaction of task similarity with forgetting.</w:t>
      </w:r>
      <w:r>
        <w:t xml:space="preserve"> </w:t>
      </w:r>
      <w:r>
        <w:rPr>
          <w:bCs/>
          <w:b/>
        </w:rPr>
        <w:t xml:space="preserve">Weaknesses.</w:t>
      </w:r>
      <w:r>
        <w:t xml:space="preserve"> </w:t>
      </w:r>
      <w:r>
        <w:t xml:space="preserve">Off-policy value-based, small CNNs; and — important for us —</w:t>
      </w:r>
      <w:r>
        <w:t xml:space="preserve"> </w:t>
      </w:r>
      <w:r>
        <w:rPr>
          <w:bCs/>
          <w:b/>
        </w:rPr>
        <w:t xml:space="preserve">CReLU does not transfer to on-policy RL</w:t>
      </w:r>
      <w:r>
        <w:t xml:space="preserve"> </w:t>
      </w:r>
      <w:r>
        <w:t xml:space="preserve">(A Study of Plasticity Loss in On-Policy Deep RL, 2024), so it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safe Task-5 pick for RLVR; it does, however, establish the multi-stage/sequential setting as the regime where plasticity loss bites hardest, which is exactly our danger zone.</w:t>
      </w:r>
    </w:p>
    <w:bookmarkEnd w:id="27"/>
    <w:bookmarkStart w:id="28" w:name="X8e5dedc939a78fa9abeeb7946de8d798cc98b0c"/>
    <w:p>
      <w:pPr>
        <w:pStyle w:val="Heading3"/>
      </w:pPr>
      <w:r>
        <w:t xml:space="preserve">3.6 Interventions (brief) — resets, plasticity injection, regenerative regularization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Primacy bias / resets</w:t>
      </w:r>
      <w:r>
        <w:t xml:space="preserve"> </w:t>
      </w:r>
      <w:r>
        <w:t xml:space="preserve">(Nikishin et al., ICML 2022, arXiv 2205.07802): early over-fitting to initial data damages later learning; periodic full or partial resets recover it. Our conceptual precursor to ReDo.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Plasticity injection</w:t>
      </w:r>
      <w:r>
        <w:t xml:space="preserve"> </w:t>
      </w:r>
      <w:r>
        <w:t xml:space="preserve">(Nikishin et al., NeurIPS 2023, arXiv 2305.15555): a diagnostic-and-intervention that adds fresh capacity mid-training; also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transfer cleanly to on-policy RL.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Regenerative regularization / L2-Init</w:t>
      </w:r>
      <w:r>
        <w:t xml:space="preserve"> </w:t>
      </w:r>
      <w:r>
        <w:t xml:space="preserve">(Kumar, Marklund, Van Roy, arXiv 2308.11958): an L2 penalty pulling weights toward their</w:t>
      </w:r>
      <w:r>
        <w:t xml:space="preserve"> </w:t>
      </w:r>
      <w:r>
        <w:rPr>
          <w:iCs/>
          <w:i/>
        </w:rPr>
        <w:t xml:space="preserve">initial</w:t>
      </w:r>
      <w:r>
        <w:t xml:space="preserve"> </w:t>
      </w:r>
      <w:r>
        <w:t xml:space="preserve">values, shown effective across continual settings and among the most robust/transferable mitigations. This is our primary Task-5 intervention and the parameter-space anchor in our KL-vs-L2-Init decoupling; it descends from the same anchor-to-reference logic as EWC (Ellie’s review).</w:t>
      </w:r>
    </w:p>
    <w:bookmarkEnd w:id="28"/>
    <w:bookmarkEnd w:id="29"/>
    <w:bookmarkStart w:id="30" w:name="relevance-to-our-proposal"/>
    <w:p>
      <w:pPr>
        <w:pStyle w:val="Heading2"/>
      </w:pPr>
      <w:r>
        <w:t xml:space="preserve">4. Relevance to Our Proposal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Definitions → stall label.</w:t>
      </w:r>
      <w:r>
        <w:t xml:space="preserve"> </w:t>
      </w:r>
      <w:r>
        <w:t xml:space="preserve">Dohare’s fresh-vs-continual gap is our label</w:t>
      </w:r>
      <w:r>
        <w:t xml:space="preserve"> </w:t>
      </w:r>
      <m:oMath>
        <m:r>
          <m:t>r</m:t>
        </m:r>
      </m:oMath>
      <w:r>
        <w:t xml:space="preserve">; we should cite it as the definitional basis so the label doesn’t read as arbitrary.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Metrics →</w:t>
      </w:r>
      <w:r>
        <w:rPr>
          <w:bCs/>
          <w:b/>
        </w:rPr>
        <w:t xml:space="preserve"> </w:t>
      </w:r>
      <m:oMath>
        <m:r>
          <m:t>Q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choices.</w:t>
      </w:r>
      <w:r>
        <w:t xml:space="preserve"> </w:t>
      </w:r>
      <w:r>
        <w:t xml:space="preserve">Effective rank as primary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grounded in Kumar (srank) and Lyle (feature rank/capacity); dormant fraction in Sokar; weight/gradient norm demoted to auxiliary is justified by Lyle 2023 (plasticity loss without saturated units). We should state we use the</w:t>
      </w:r>
      <w:r>
        <w:t xml:space="preserve"> </w:t>
      </w:r>
      <w:r>
        <w:rPr>
          <w:iCs/>
          <w:i/>
        </w:rPr>
        <w:t xml:space="preserve">entropy</w:t>
      </w:r>
      <w:r>
        <w:t xml:space="preserve"> </w:t>
      </w:r>
      <w:r>
        <w:t xml:space="preserve">effective rank, not srank, to avoid ambiguity.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single metric → bake-off.</w:t>
      </w:r>
      <w:r>
        <w:t xml:space="preserve"> </w:t>
      </w:r>
      <w:r>
        <w:t xml:space="preserve">The Klein/Plasticine consensus is the literature warrant for reporting several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testing an ensemble.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Interventions → Task 5.</w:t>
      </w:r>
      <w:r>
        <w:t xml:space="preserve"> </w:t>
      </w:r>
      <w:r>
        <w:t xml:space="preserve">ReDo (dormant reset) and L2-Init (regenerative reg) are the two canonical, well-benchmarked interventions; lead with L2-Init because of the on-policy transfer caveat.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Open problem = our contribution.</w:t>
      </w:r>
      <w:r>
        <w:t xml:space="preserve"> </w:t>
      </w:r>
      <w:r>
        <w:t xml:space="preserve">Klein, Dohare, Plasticine, Sokar, and Abbas all explicitly flag that these metric definitions</w:t>
      </w:r>
      <w:r>
        <w:t xml:space="preserve"> </w:t>
      </w:r>
      <w:r>
        <w:t xml:space="preserve">“</w:t>
      </w:r>
      <w:r>
        <w:t xml:space="preserve">may not transfer cleanly to transformers</w:t>
      </w:r>
      <w:r>
        <w:t xml:space="preserve">”</w:t>
      </w:r>
      <w:r>
        <w:t xml:space="preserve">; adapting effective rank and the dormant score to attention/FFN blocks with GELU/SwiGLU is our stated small methodological contribution, and the source of our</w:t>
      </w:r>
      <w:r>
        <w:t xml:space="preserve"> </w:t>
      </w:r>
      <w:r>
        <w:t xml:space="preserve">“</w:t>
      </w:r>
      <m:oMath>
        <m:r>
          <m:t>Q</m:t>
        </m:r>
      </m:oMath>
      <w:r>
        <w:t xml:space="preserve">-not-standardized</w:t>
      </w:r>
      <w:r>
        <w:t xml:space="preserve">”</w:t>
      </w:r>
      <w:r>
        <w:t xml:space="preserve"> </w:t>
      </w:r>
      <w:r>
        <w:t xml:space="preserve">limitation.</w:t>
      </w:r>
    </w:p>
    <w:bookmarkEnd w:id="30"/>
    <w:bookmarkStart w:id="31" w:name="gap-our-proposal-fills"/>
    <w:p>
      <w:pPr>
        <w:pStyle w:val="Heading2"/>
      </w:pPr>
      <w:r>
        <w:t xml:space="preserve">5. Gap Our Proposal Fills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Metrics are defined for MLP/CNN + ReLU in game-playing RL; transformer/LLM transfer is untested</w:t>
      </w:r>
      <w:r>
        <w:t xml:space="preserve"> </w:t>
      </w:r>
      <w:r>
        <w:t xml:space="preserve">— every paper here lists it as future work. We port and validate them for LLM post-training.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All of these use the metrics as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descriptive</w:t>
      </w:r>
      <w:r>
        <w:rPr>
          <w:bCs/>
          <w:b/>
        </w:rPr>
        <w:t xml:space="preserve"> </w:t>
      </w:r>
      <w:r>
        <w:rPr>
          <w:bCs/>
          <w:b/>
        </w:rPr>
        <w:t xml:space="preserve">diagnostics or as fixed-schedule intervention triggers — none uses a plasticity signal as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predictor</w:t>
      </w:r>
      <w:r>
        <w:rPr>
          <w:bCs/>
          <w:b/>
        </w:rPr>
        <w:t xml:space="preserve"> </w:t>
      </w:r>
      <w:r>
        <w:rPr>
          <w:bCs/>
          <w:b/>
        </w:rPr>
        <w:t xml:space="preserve">of a future training failure, benchmarked against baselines.</w:t>
      </w:r>
      <w:r>
        <w:t xml:space="preserve"> </w:t>
      </w:r>
      <w:r>
        <w:t xml:space="preserve">That predictive, calibrated, bake-off-validated use is our headline.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setting is single-agent continual game-playing, not multi-stage LLM RLVR.</w:t>
      </w:r>
      <w:r>
        <w:t xml:space="preserve"> </w:t>
      </w:r>
      <w:r>
        <w:t xml:space="preserve">We move the whole toolkit into the RLVR pipeline where diversity collapse, forgetting, and stalling co-occur, and test whether one capacity signal predicts them jointly.</w:t>
      </w:r>
    </w:p>
    <w:bookmarkEnd w:id="31"/>
    <w:bookmarkStart w:id="32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6"/>
        </w:numPr>
        <w:pStyle w:val="Compact"/>
      </w:pPr>
      <w:r>
        <w:t xml:space="preserve">Kumar, A., Agarwal, R., Ghosh, D., &amp; Levine, S. (2021).</w:t>
      </w:r>
      <w:r>
        <w:t xml:space="preserve"> </w:t>
      </w:r>
      <w:r>
        <w:rPr>
          <w:iCs/>
          <w:i/>
        </w:rPr>
        <w:t xml:space="preserve">Implicit Under-Parameterization Inhibits Data-Efficient Deep Reinforcement Learning.</w:t>
      </w:r>
      <w:r>
        <w:t xml:space="preserve"> </w:t>
      </w:r>
      <w:r>
        <w:t xml:space="preserve">ICLR. arXiv:2010.14498.</w:t>
      </w:r>
    </w:p>
    <w:p>
      <w:pPr>
        <w:numPr>
          <w:ilvl w:val="0"/>
          <w:numId w:val="1006"/>
        </w:numPr>
        <w:pStyle w:val="Compact"/>
      </w:pPr>
      <w:r>
        <w:t xml:space="preserve">Sokar, G., Agarwal, R., Castro, P. S., &amp; Evci, U. (2023).</w:t>
      </w:r>
      <w:r>
        <w:t xml:space="preserve"> </w:t>
      </w:r>
      <w:r>
        <w:rPr>
          <w:iCs/>
          <w:i/>
        </w:rPr>
        <w:t xml:space="preserve">The Dormant Neuron Phenomenon in Deep Reinforcement Learning.</w:t>
      </w:r>
      <w:r>
        <w:t xml:space="preserve"> </w:t>
      </w:r>
      <w:r>
        <w:t xml:space="preserve">ICML (PMLR 202). arXiv:2302.12902.</w:t>
      </w:r>
    </w:p>
    <w:p>
      <w:pPr>
        <w:numPr>
          <w:ilvl w:val="0"/>
          <w:numId w:val="1006"/>
        </w:numPr>
        <w:pStyle w:val="Compact"/>
      </w:pPr>
      <w:r>
        <w:t xml:space="preserve">Lyle, C., Rowland, M., &amp; Dabney, W. (2022).</w:t>
      </w:r>
      <w:r>
        <w:t xml:space="preserve"> </w:t>
      </w:r>
      <w:r>
        <w:rPr>
          <w:iCs/>
          <w:i/>
        </w:rPr>
        <w:t xml:space="preserve">Understanding and Preventing Capacity Loss in Reinforcement Learning.</w:t>
      </w:r>
      <w:r>
        <w:t xml:space="preserve"> </w:t>
      </w:r>
      <w:r>
        <w:t xml:space="preserve">ICLR. arXiv:2204.09560.</w:t>
      </w:r>
    </w:p>
    <w:p>
      <w:pPr>
        <w:numPr>
          <w:ilvl w:val="0"/>
          <w:numId w:val="1006"/>
        </w:numPr>
        <w:pStyle w:val="Compact"/>
      </w:pPr>
      <w:r>
        <w:t xml:space="preserve">Lyle, C., Zheng, Z., Nikishin, E., Avila Pires, B., Pascanu, R., &amp; Dabney, W. (2023).</w:t>
      </w:r>
      <w:r>
        <w:t xml:space="preserve"> </w:t>
      </w:r>
      <w:r>
        <w:rPr>
          <w:iCs/>
          <w:i/>
        </w:rPr>
        <w:t xml:space="preserve">Understanding Plasticity in Neural Networks.</w:t>
      </w:r>
      <w:r>
        <w:t xml:space="preserve"> </w:t>
      </w:r>
      <w:r>
        <w:t xml:space="preserve">ICML. arXiv:2303.01486.</w:t>
      </w:r>
    </w:p>
    <w:p>
      <w:pPr>
        <w:numPr>
          <w:ilvl w:val="0"/>
          <w:numId w:val="1006"/>
        </w:numPr>
        <w:pStyle w:val="Compact"/>
      </w:pPr>
      <w:r>
        <w:t xml:space="preserve">Abbas, Z., Zhao, R., Modayil, J., White, A., &amp; Machado, M. C. (2023).</w:t>
      </w:r>
      <w:r>
        <w:t xml:space="preserve"> </w:t>
      </w:r>
      <w:r>
        <w:rPr>
          <w:iCs/>
          <w:i/>
        </w:rPr>
        <w:t xml:space="preserve">Loss of Plasticity in Continual Deep Reinforcement Learning.</w:t>
      </w:r>
      <w:r>
        <w:t xml:space="preserve"> </w:t>
      </w:r>
      <w:r>
        <w:t xml:space="preserve">CoLLAs. arXiv:2303.07507.</w:t>
      </w:r>
    </w:p>
    <w:p>
      <w:pPr>
        <w:numPr>
          <w:ilvl w:val="0"/>
          <w:numId w:val="1006"/>
        </w:numPr>
        <w:pStyle w:val="Compact"/>
      </w:pPr>
      <w:r>
        <w:t xml:space="preserve">Dohare, S., Hernandez-Garcia, J. F., Lan, Q., Rahman, P., Mahmood, A. R., &amp; Sutton, R. S. (2024).</w:t>
      </w:r>
      <w:r>
        <w:t xml:space="preserve"> </w:t>
      </w:r>
      <w:r>
        <w:rPr>
          <w:iCs/>
          <w:i/>
        </w:rPr>
        <w:t xml:space="preserve">Loss of Plasticity in Deep Continual Learning.</w:t>
      </w:r>
      <w:r>
        <w:t xml:space="preserve"> </w:t>
      </w:r>
      <w:r>
        <w:t xml:space="preserve">Nature.</w:t>
      </w:r>
    </w:p>
    <w:p>
      <w:pPr>
        <w:numPr>
          <w:ilvl w:val="0"/>
          <w:numId w:val="1006"/>
        </w:numPr>
        <w:pStyle w:val="Compact"/>
      </w:pPr>
      <w:r>
        <w:t xml:space="preserve">Nikishin, E., Schwarzer, M., D’Oro, P., Bacon, P.-L., &amp; Courville, A. (2022).</w:t>
      </w:r>
      <w:r>
        <w:t xml:space="preserve"> </w:t>
      </w:r>
      <w:r>
        <w:rPr>
          <w:iCs/>
          <w:i/>
        </w:rPr>
        <w:t xml:space="preserve">The Primacy Bias in Deep Reinforcement Learning.</w:t>
      </w:r>
      <w:r>
        <w:t xml:space="preserve"> </w:t>
      </w:r>
      <w:r>
        <w:t xml:space="preserve">ICML. arXiv:2205.07802.</w:t>
      </w:r>
    </w:p>
    <w:p>
      <w:pPr>
        <w:numPr>
          <w:ilvl w:val="0"/>
          <w:numId w:val="1006"/>
        </w:numPr>
        <w:pStyle w:val="Compact"/>
      </w:pPr>
      <w:r>
        <w:t xml:space="preserve">Nikishin, E., Oh, J., Ostrovski, G., Lyle, C., Pascanu, R., Dabney, W., &amp; Barreto, A. (2023).</w:t>
      </w:r>
      <w:r>
        <w:t xml:space="preserve"> </w:t>
      </w:r>
      <w:r>
        <w:rPr>
          <w:iCs/>
          <w:i/>
        </w:rPr>
        <w:t xml:space="preserve">Deep Reinforcement Learning with Plasticity Injection.</w:t>
      </w:r>
      <w:r>
        <w:t xml:space="preserve"> </w:t>
      </w:r>
      <w:r>
        <w:t xml:space="preserve">NeurIPS. arXiv:2305.15555.</w:t>
      </w:r>
    </w:p>
    <w:p>
      <w:pPr>
        <w:numPr>
          <w:ilvl w:val="0"/>
          <w:numId w:val="1006"/>
        </w:numPr>
        <w:pStyle w:val="Compact"/>
      </w:pPr>
      <w:r>
        <w:t xml:space="preserve">Kumar, S., Marklund, H., &amp; Van Roy, B. (2023).</w:t>
      </w:r>
      <w:r>
        <w:t xml:space="preserve"> </w:t>
      </w:r>
      <w:r>
        <w:rPr>
          <w:iCs/>
          <w:i/>
        </w:rPr>
        <w:t xml:space="preserve">Maintaining Plasticity via Regenerative Regularization (L2-Init).</w:t>
      </w:r>
      <w:r>
        <w:t xml:space="preserve"> </w:t>
      </w:r>
      <w:r>
        <w:t xml:space="preserve">arXiv:2308.11958.</w:t>
      </w:r>
    </w:p>
    <w:p>
      <w:pPr>
        <w:numPr>
          <w:ilvl w:val="0"/>
          <w:numId w:val="1006"/>
        </w:numPr>
        <w:pStyle w:val="Compact"/>
      </w:pPr>
      <w:r>
        <w:t xml:space="preserve">Lewandowski, A., Tanaka, H., Schuurmans, D., &amp; Machado, M. C. (2023).</w:t>
      </w:r>
      <w:r>
        <w:t xml:space="preserve"> </w:t>
      </w:r>
      <w:r>
        <w:rPr>
          <w:iCs/>
          <w:i/>
        </w:rPr>
        <w:t xml:space="preserve">Curvature Explains Loss of Plasticity.</w:t>
      </w:r>
      <w:r>
        <w:t xml:space="preserve"> </w:t>
      </w:r>
      <w:r>
        <w:t xml:space="preserve">arXiv:2312.00246.</w:t>
      </w:r>
    </w:p>
    <w:p>
      <w:pPr>
        <w:numPr>
          <w:ilvl w:val="0"/>
          <w:numId w:val="1006"/>
        </w:numPr>
        <w:pStyle w:val="Compact"/>
      </w:pPr>
      <w:r>
        <w:t xml:space="preserve">Roy, O., &amp; Vetterli, M. (2007).</w:t>
      </w:r>
      <w:r>
        <w:t xml:space="preserve"> </w:t>
      </w:r>
      <w:r>
        <w:rPr>
          <w:iCs/>
          <w:i/>
        </w:rPr>
        <w:t xml:space="preserve">The Effective Rank: A Measure of Effective Dimensionality.</w:t>
      </w:r>
      <w:r>
        <w:t xml:space="preserve"> </w:t>
      </w:r>
      <w:r>
        <w:t xml:space="preserve">EUSIPCO.</w:t>
      </w:r>
    </w:p>
    <w:p>
      <w:pPr>
        <w:numPr>
          <w:ilvl w:val="0"/>
          <w:numId w:val="1006"/>
        </w:numPr>
        <w:pStyle w:val="Compact"/>
      </w:pPr>
      <w:r>
        <w:t xml:space="preserve">Klein, T., et al. (2024).</w:t>
      </w:r>
      <w:r>
        <w:t xml:space="preserve"> </w:t>
      </w:r>
      <w:r>
        <w:rPr>
          <w:iCs/>
          <w:i/>
        </w:rPr>
        <w:t xml:space="preserve">Plasticity Loss in Deep RL: A Survey.</w:t>
      </w:r>
      <w:r>
        <w:t xml:space="preserve"> </w:t>
      </w:r>
      <w:r>
        <w:t xml:space="preserve">arXiv:2411.04832.</w:t>
      </w:r>
      <w:r>
        <w:t xml:space="preserve"> </w:t>
      </w:r>
      <w:r>
        <w:rPr>
          <w:iCs/>
          <w:i/>
        </w:rPr>
        <w:t xml:space="preserve">(Arnav P1)</w:t>
      </w:r>
    </w:p>
    <w:p>
      <w:pPr>
        <w:numPr>
          <w:ilvl w:val="0"/>
          <w:numId w:val="1006"/>
        </w:numPr>
        <w:pStyle w:val="Compact"/>
      </w:pPr>
      <w:r>
        <w:t xml:space="preserve">Yuan et al. (2026).</w:t>
      </w:r>
      <w:r>
        <w:t xml:space="preserve"> </w:t>
      </w:r>
      <w:r>
        <w:rPr>
          <w:iCs/>
          <w:i/>
        </w:rPr>
        <w:t xml:space="preserve">Plasticine.</w:t>
      </w:r>
      <w:r>
        <w:t xml:space="preserve"> </w:t>
      </w:r>
      <w:r>
        <w:t xml:space="preserve">arXiv:2504.17490.</w:t>
      </w:r>
      <w:r>
        <w:t xml:space="preserve"> </w:t>
      </w:r>
      <w:r>
        <w:rPr>
          <w:iCs/>
          <w:i/>
        </w:rPr>
        <w:t xml:space="preserve">(Arnav P3)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A Study of Plasticity Loss in On-Policy Deep Reinforcement Learning.</w:t>
      </w:r>
      <w:r>
        <w:t xml:space="preserve"> </w:t>
      </w:r>
      <w:r>
        <w:t xml:space="preserve">(2024). NeurIPS. arXiv:2405.19153.</w:t>
      </w:r>
    </w:p>
    <w:p>
      <w:pPr>
        <w:pStyle w:val="FirstParagraph"/>
      </w:pPr>
      <w:r>
        <w:rPr>
          <w:iCs/>
          <w:i/>
        </w:rPr>
        <w:t xml:space="preserve">Prepared for the group’s research proposal (Person 3 topic: plasticity-loss foundations — definitions, metrics, ReDo, effective rank). Pairs with Arnav’s RLVR-dynamics review and Ellie’s continual-learning/confounds review.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2026-07-09T02:24:46Z</dcterms:created>
  <dcterms:modified xsi:type="dcterms:W3CDTF">2026-07-09T02:24:46Z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