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125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安全漏洞(CVE-2019-2923)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目前厂商已发布升级补丁以修复漏洞，补丁获取链接：https://www.oracle.com/technetwork/security-advisory/cpuoct2019-5072832.html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