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0"/>
        </w:rPr>
        <w:t>CJA 论文创新点与写作大纲</w:t>
      </w:r>
    </w:p>
    <w:p>
      <w:pPr>
        <w:jc w:val="center"/>
      </w:pPr>
      <w:r>
        <w:rPr>
          <w:rFonts w:ascii="Arial" w:hAnsi="Arial" w:eastAsia="黑体"/>
          <w:b/>
          <w:sz w:val="28"/>
        </w:rPr>
        <w:t>面向航空发动机涡轮盘的自动仿真—反馈—修复闭环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日期：2026-09-20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0"/>
        </w:rPr>
        <w:t>目标期刊：Chinese Journal of Aeronautics (CJA)</w:t>
      </w:r>
    </w:p>
    <w:p>
      <w:pPr>
        <w:jc w:val="center"/>
      </w:pPr>
      <w:r>
        <w:rPr>
          <w:rFonts w:ascii="Times New Roman" w:hAnsi="Times New Roman" w:eastAsia="宋体"/>
          <w:b w:val="0"/>
          <w:i/>
          <w:sz w:val="21"/>
        </w:rPr>
        <w:t>定位：生成部分仅作背景；核心贡献放在 CAD–FEA 自动仿真、反馈归因、特征修复、预测判伪与工程经验积累。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0. 执行结论</w:t>
      </w:r>
    </w:p>
    <w:p>
      <w:r>
        <w:rPr>
          <w:rFonts w:ascii="Times New Roman" w:hAnsi="Times New Roman" w:eastAsia="宋体"/>
          <w:b w:val="0"/>
          <w:i w:val="0"/>
          <w:sz w:val="21"/>
        </w:rPr>
        <w:t>现有工作已经覆盖“LLM 自动生成 FEA/CAE 脚本、调用求解器、读取结果并迭代”的一般流程，因此“用 LLM 做自动仿真”本身不再足以作为主创新。你的工作真正有差异度的部分不是多智能体数量，也不是自然语言生成输入文件，而是以下三层证据链：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设计证据：feature-level CAD dependency graph，保证修改的是正确的涡轮盘特征或参数。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几何证据：pre-solve STEP solid-effect gate，确认修改确实进入最终实体目标区域，而不是只改了文档字段。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物理证据：下一轮独立 ANSYS 求解 + mesh noise floor + prediction scoring，判定 confirmed/refuted/unmoved。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建议把论文主叙事从“自动仿真 agent”调整为“面向涡轮盘的、可判伪的 CAD–FEA 反馈修复框架”。最突出的创新点是：feature-aware repair + solid-effect verification + falsifiable engineering experience learning。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1. 已有工作版图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1.1 最接近的工作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474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工作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年份/期刊</w:t>
            </w:r>
          </w:p>
        </w:tc>
        <w:tc>
          <w:tcPr>
            <w:tcW w:type="dxa" w:w="209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主要贡献</w:t>
            </w:r>
          </w:p>
        </w:tc>
        <w:tc>
          <w:tcPr>
            <w:tcW w:type="dxa" w:w="2438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它已经覆盖了什么</w:t>
            </w:r>
          </w:p>
        </w:tc>
        <w:tc>
          <w:tcPr>
            <w:tcW w:type="dxa" w:w="266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你的差异空间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CFD-copilot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2026, CJA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领域适配 LLM + MCP，增强 CFD 仿真自动化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自然语言到 CFD 工作流、工具编排、仿真自动化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你聚焦结构 FEA 和涡轮盘；不是替代 CFD-copilot，而是把闭环推进到 CAD feature 修复、实体效果验证和预测判伪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AbaqusAgent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2026, arXiv/多 agent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六个 agent 完成 Abaqus 输入、运行、审查、可视化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通用固体力学 FEA case 生成和执行，50 例，86% 成功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你没有停留在一次性生成；重点是跨 revision 修复、最终实体验证和真实设计经验积累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ALL-FEM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2026, CMAME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微调 LLM + agentic FEM 代码生成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FEniCS、多物理、多 agent、运行反馈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你的领域不再是通用代码生成，而是涡轮盘 feature edit、载荷路径、网格/面映射和数据归因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AutoFEA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2025, AAAI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LLM + GCN-Transformer 检索，生成 CalculiX 输入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降低 FEA 代码生成幻觉、提高输入文件正确率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你关注“修什么设计变量、是否改到真实几何、下一次物理结果是否支持预测”，而不是只生成正确输入文件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PAMF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2026, JMST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微调 LLM agent 预测网格误差并自适应加密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a priori mesh generation、error feedback、APDL 代码库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你覆盖完整 CAD–FEA–feedback–repair 循环，并且有构件级应力结果和设计变量修改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LLM Mechanical Designer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2024/2026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LLM + FEM 迭代优化 2D truss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设计生成、FEM 反馈、结构修改、与 NSGA-II 比较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你的测试对象是真实涡轮盘 CAD/FEA，加入 feature dependency 和工程经验规则；不要只重复“LLM 优化结构”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Next-generation CAE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2025, CMAME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综述 LLM 驱动的下一代 CAE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框架、机会和挑战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你提供特定航空航天部件上的可运行闭环和真实证据，而不是综述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8"/>
              </w:rPr>
              <w:t>Generic CAE harness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8"/>
              </w:rPr>
              <w:t>2026, arXiv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宋体"/>
                <w:sz w:val="18"/>
              </w:rPr>
              <w:t>比较通用 harness、多 agent、执行反馈和领域知识</w:t>
            </w:r>
          </w:p>
        </w:tc>
        <w:tc>
          <w:tcPr>
            <w:tcW w:type="dxa" w:w="2438"/>
          </w:tcPr>
          <w:p>
            <w:r/>
            <w:r>
              <w:rPr>
                <w:rFonts w:ascii="Times New Roman" w:hAnsi="Times New Roman" w:eastAsia="宋体"/>
                <w:sz w:val="18"/>
              </w:rPr>
              <w:t>执行反馈有效；脚本化 reflection 可能无效；领域教程有帮助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你的贡献应是“哪些领域特定的 measurement/gate 不能被通用 harness 替代”，而不是“增加 agent 数量”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sz w:val="25"/>
        </w:rPr>
        <w:t>1.2 涡轮盘结构设计已有工作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方向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代表性工作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已有能力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你的论文不应重复的主张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应力约束拓扑优化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CJA 2023: turbine disk maximum stress prediction and constraints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8"/>
              </w:rPr>
              <w:t>拓扑优化中的最大应力预测和约束处理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不要声称首次做涡轮盘应力优化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通风孔/开口形状优化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CJA 2021: elliptical ventilation openings; AST 2019: non-circular vent hole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8"/>
              </w:rPr>
              <w:t>解析/FEM/代理模型优化开孔位置和形状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不要声称首次优化孔和应力集中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双腹板盘优化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SMO 2022: topology and shape optimization of twin-web turbine disk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8"/>
              </w:rPr>
              <w:t>形状、拓扑、Kriging、多学科优化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不要声称首次用代理模型做盘优化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疲劳/蠕变可靠性与寿命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IJF 2021; RESS 2022: fatigue/creep-fatigue reliability of turbine disks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8"/>
              </w:rPr>
              <w:t>可靠性、寿命、概率评估、热点识别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你的系统目前仍以应力和位移为主，不要把结果包装成寿命优化已完成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8"/>
              </w:rPr>
              <w:t>生成式概念设计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CJA 2025: generative AI aircraft conceptual design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8"/>
              </w:rPr>
              <w:t>LLM 生成概念方案并与工程师对比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你的重点不是概念设计，而是求解后的定量反馈和修复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sz w:val="30"/>
        </w:rPr>
        <w:t>2. 建议的 CJA 创新点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C1. 面向涡轮盘的特征级 CAD 参数依赖图与联合修复</w:t>
      </w:r>
    </w:p>
    <w:p>
      <w:r>
        <w:rPr>
          <w:rFonts w:ascii="Times New Roman" w:hAnsi="Times New Roman" w:eastAsia="宋体"/>
          <w:b w:val="0"/>
          <w:i w:val="0"/>
          <w:sz w:val="21"/>
        </w:rPr>
        <w:t>现有 LLM/CAE agent 多数把设计修改视为“改脚本”或“改一个标量”。涡轮盘的几何语义不是标量：meridian mirror vertex、slot profile、fillet family、hole pattern、rim thickness 等之间具有设计依赖。你当前已经有：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mirror_vertex_pair：同一回转面的镜像顶点必须成对移动；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fillet_family：同一 feature 的圆角族可以联合修改；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pattern_instances：孔/槽 circular pattern 的 source 和 placement 关系；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profile_contour：同一闭合轮廓的坐标关系；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feature_bundle：一个生成 feature 的可编辑参数范围。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论文贡献可以表述为：提出一种从 CAD document 自动构造 feature-level dependency graph，并允许 agent 在同一 finding 下执行多参数、原子式、可审计修复的方法。它不是“更大 prompt”，而是把工程几何语义显式提供给 agent。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C2. 求解前真实实体效果门：Document edit ≠ Solid change</w:t>
      </w:r>
    </w:p>
    <w:p>
      <w:r>
        <w:rPr>
          <w:rFonts w:ascii="Times New Roman" w:hAnsi="Times New Roman" w:eastAsia="宋体"/>
          <w:b w:val="0"/>
          <w:i w:val="0"/>
          <w:sz w:val="21"/>
        </w:rPr>
        <w:t>这是你目前最有辨识度的工程贡献之一。很多 agent 只能证明自己写入了参数，不能证明最终 CAD/STEP 真的变了。你加入了：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最终 STEP 的 boundary triangle cells；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目标半径/轴向窗口内的局部 surface area 和 radial boundary 比较；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target window 与 finding 的 radius/z/parameter reach 绑定；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如果目标区域未变化，则在 ANSYS solve 前 fail-closed。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可以把这概括为：“把设计修复的验证从文本/文档层提升到最终 solid feature 层”。在 CJA 语境下，这比单纯增加 agent 数量更有工程价值。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C3. 可判伪的反馈—修复协议</w:t>
      </w:r>
    </w:p>
    <w:p>
      <w:r>
        <w:rPr>
          <w:rFonts w:ascii="Times New Roman" w:hAnsi="Times New Roman" w:eastAsia="宋体"/>
          <w:b w:val="0"/>
          <w:i w:val="0"/>
          <w:sz w:val="21"/>
        </w:rPr>
        <w:t>现有 CAE agent 通常说“读取结果并迭代”，但很少定义反馈何时应被相信。你的协议是：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feedback agent 给出 mechanism、location、change 和 prediction；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evidence 必须能在真实结果场中重读；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revise agent 只能写 document 中真实存在的参数；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写入后必须产生真实 diff，并且数值/相对变化/镜像关系一致；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下一 revision 用独立 solve 检查 prediction；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用 mesh noise floor 区分 confirmed、partial、refuted、unmoved。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这形成一个“physical prediction → intervention → re-solve → refutation/confirmation”的闭环。论文里可以把它称为 physics-grounded falsifiable feedback。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C4. 面向航空航天工程的经验学习系统</w:t>
      </w:r>
    </w:p>
    <w:p>
      <w:r>
        <w:rPr>
          <w:rFonts w:ascii="Times New Roman" w:hAnsi="Times New Roman" w:eastAsia="宋体"/>
          <w:b w:val="0"/>
          <w:i w:val="0"/>
          <w:sz w:val="21"/>
        </w:rPr>
        <w:t>建议把“engineering experience learning”写成核心候选创新，而不是附属功能。它的差异点不是普通 memory，而是：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rule 只能来自真实 FEA run；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rule 按 mechanism、parameter、direction 存储；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规则状态从 seed → candidate → trusted/refuted；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refutation 必须有真实 observation 和 side effect；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跨族 transfer 后才能称为泛化；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规则带有网格噪声底、载荷完整性和几何可达性约束。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这已经区别于 ExpeL、Reflexion 这类通用文本经验学习：这里的 experience 是带物理量纲、误差底和设计参数的工程证据。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C5. 多设计族机场/涡轮盘 benchmark</w:t>
      </w:r>
    </w:p>
    <w:p>
      <w:r>
        <w:rPr>
          <w:rFonts w:ascii="Times New Roman" w:hAnsi="Times New Roman" w:eastAsia="宋体"/>
          <w:b w:val="0"/>
          <w:i w:val="0"/>
          <w:sz w:val="21"/>
        </w:rPr>
        <w:t>当前工作已经有 11 族选面统计、32 族 dependency graph 覆盖实验和真实 D19/D27 solve。建议把它包装为：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frozen face-selection benchmark；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feature dependency coverage benchmark；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closed-loop prediction benchmark（confirmed/partial/refuted/unmoved）；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knowledge transfer benchmark（seed rule 从一个族转移到另一个族）。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这比只展示一个 D27 case 更像 CJA 论文，也能把负结果写成贡献：D19 bore-opening prediction 被真实实验推翻，并发现 load-surface side effect。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3. 建议的论文标题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Feature-Aware and Falsifiable CAD–FEA Closed Loop for Aero-Engine Turbine Disk Design Repair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From Simulation to Design Repair: An Evidence-Grounded Agentic Framework for Turbine Disk Stress-Field Feedback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Engineering Experience Learning through Falsifiable CAD–FEA Feedback for Aero-Engine Turbine Disks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A Feature-Dependency and Prediction-Scoring Agent Framework for Turbine Disk Structural Simulation and Repair</w:t>
      </w:r>
    </w:p>
    <w:p>
      <w:r>
        <w:rPr>
          <w:rFonts w:ascii="Times New Roman" w:hAnsi="Times New Roman" w:eastAsia="宋体"/>
          <w:b w:val="0"/>
          <w:i w:val="0"/>
          <w:sz w:val="21"/>
        </w:rPr>
        <w:t>推荐第一或第二个标题。标题里出现 feature-aware、falsifiable、closed-loop、turbine disk，比“LLM agent”更能体现 CJA 关心的工程和可信度。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4. CJA 论文大纲（英文写作结构 + 中文说明）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Abstract</w:t>
      </w:r>
    </w:p>
    <w:p>
      <w:r>
        <w:rPr>
          <w:rFonts w:ascii="Times New Roman" w:hAnsi="Times New Roman" w:eastAsia="宋体"/>
          <w:b w:val="0"/>
          <w:i w:val="0"/>
          <w:sz w:val="21"/>
        </w:rPr>
        <w:t>推荐结构：背景一句；已有 LLM/CAE 工作一句；指出 attribution gap：参数修改、最终 solid、物理响应之间没有闭合；提出 feature-aware/falsifiable loop；给出 3 个定量结果；最后一句给工程意义。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必须出现的数字：feature dependency coverage；face-selection exact accuracy；real closed-loop solve；prediction outcomes；revise patch correctness；至少一个 refuted case。不要只写 qualitative claims。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1. Introduction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1.1 Aero-engine turbine disk design and the cost of repeated CAD–FEA iterations.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1.2 LLM/agentic automation has advanced CAE workflow generation.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1.3 Remaining attribution gap: document edit ≠ solid change ≠ physical improvement.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1.4 This paper: feature-level dependency graph, pre-solve solid-effect gate, falsifiable feedback, engineering experience memory.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1.5 Contributions and paper organization.</w:t>
      </w:r>
    </w:p>
    <w:p>
      <w:r>
        <w:rPr>
          <w:rFonts w:ascii="Times New Roman" w:hAnsi="Times New Roman" w:eastAsia="宋体"/>
          <w:b w:val="0"/>
          <w:i w:val="0"/>
          <w:sz w:val="21"/>
        </w:rPr>
        <w:t>引言故事建议：不要从“LLM 很热”开始，而从涡轮盘的实际工程链条开始：face selection → load path → mesh → stress peak → feature edit → re-solve → rule reuse。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2. Related Work and Positioning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2.1 Turbine disk structural optimization: topology, shape, surrogate, reliability, fatigue/creep.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2.2 LLM/agentic CAE and FEA: CFD-copilot, AbaqusAgent, ALL-FEM, AutoFEA, PAMF, OpenFOAMGPT.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2.3 Iterative design and experience learning: LLM agent as mechanical designer, ExpeL, Reflexion, CRITIC, case-based engineering knowledge reuse.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2.4 Positioning: what current systems automate vs what this paper verifies and repairs.</w:t>
      </w:r>
    </w:p>
    <w:p>
      <w:r>
        <w:rPr>
          <w:rFonts w:ascii="Times New Roman" w:hAnsi="Times New Roman" w:eastAsia="宋体"/>
          <w:b w:val="0"/>
          <w:i w:val="0"/>
          <w:sz w:val="21"/>
        </w:rPr>
        <w:t>结尾放一张 Position Matrix 表：Feature-aware / Solid-effect verified / Falsifiable prediction / Noise-aware / Cross-family knowledge / Turbine-disk domain。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3. Problem Formulation</w:t>
      </w:r>
    </w:p>
    <w:p>
      <w:r>
        <w:rPr>
          <w:rFonts w:ascii="Times New Roman" w:hAnsi="Times New Roman" w:eastAsia="宋体"/>
          <w:b w:val="0"/>
          <w:i w:val="0"/>
          <w:sz w:val="21"/>
        </w:rPr>
        <w:t>定义 document state、simulation experiment、finding、change、prediction、outcome。建议形式化：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D_N: CAD document at revision N；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E: simulation experiment held fixed across revisions；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M_N = S(D_N, E): physical metrics;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F_N: finding and prediction about intervention ΔD;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G(D_N, ΔD): geometric validity predicate;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O_N ∈ {confirmed, partial, refuted, unmoved, unmeasurable, untested}。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明确指出：论文的目标不是证明某个规则永远正确，而是给出 evidence-grounded intervention and refutation protocol。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4. Methodology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4.1 Overall closed-loop architecture</w:t>
      </w:r>
    </w:p>
    <w:p>
      <w:r>
        <w:rPr>
          <w:rFonts w:ascii="Times New Roman" w:hAnsi="Times New Roman" w:eastAsia="宋体"/>
          <w:b w:val="0"/>
          <w:i w:val="0"/>
          <w:sz w:val="21"/>
        </w:rPr>
        <w:t>generate → frame/domain/setup/facefind/mesh → solve → postprocess/verify → feedback → revise → next generate。生成部分只写一段，强调它是已有的 document generator。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4.2 Frame normalization and simulation consistency</w:t>
      </w:r>
    </w:p>
    <w:p>
      <w:r>
        <w:rPr>
          <w:rFonts w:ascii="Times New Roman" w:hAnsi="Times New Roman" w:eastAsia="宋体"/>
          <w:b w:val="0"/>
          <w:i w:val="0"/>
          <w:sz w:val="21"/>
        </w:rPr>
        <w:t>profile/Gmsh/mesh mapping/APDL/postprocess 使用同一个 case frame；说明非全局 Z 的契约、fail-closed 和当前 topology 限制。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4.3 Measurement-driven simulation agents</w:t>
      </w:r>
    </w:p>
    <w:p>
      <w:r>
        <w:rPr>
          <w:rFonts w:ascii="Times New Roman" w:hAnsi="Times New Roman" w:eastAsia="宋体"/>
          <w:b w:val="0"/>
          <w:i w:val="0"/>
          <w:sz w:val="21"/>
        </w:rPr>
        <w:t>face selection：flank normal family、outer radial band、radial load alignment；mesh agent：refinement、convergence/noise floor；postprocess：load audit、radial bands、stress components。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4.4 Feature-level CAD dependency graph</w:t>
      </w:r>
    </w:p>
    <w:p>
      <w:r>
        <w:rPr>
          <w:rFonts w:ascii="Times New Roman" w:hAnsi="Times New Roman" w:eastAsia="宋体"/>
          <w:b w:val="0"/>
          <w:i w:val="0"/>
          <w:sz w:val="21"/>
        </w:rPr>
        <w:t>定义 nodes/edges/parameter groups；说明 mirror、fillet family、pattern、contour、feature bundle；给算法伪代码。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4.5 Feedback agent</w:t>
      </w:r>
    </w:p>
    <w:p>
      <w:r>
        <w:rPr>
          <w:rFonts w:ascii="Times New Roman" w:hAnsi="Times New Roman" w:eastAsia="宋体"/>
          <w:b w:val="0"/>
          <w:i w:val="0"/>
          <w:sz w:val="21"/>
        </w:rPr>
        <w:t>region ranking、mechanism signature、evidence re-read、change proposal、prediction。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4.6 Revise agent</w:t>
      </w:r>
    </w:p>
    <w:p>
      <w:r>
        <w:rPr>
          <w:rFonts w:ascii="Times New Roman" w:hAnsi="Times New Roman" w:eastAsia="宋体"/>
          <w:b w:val="0"/>
          <w:i w:val="0"/>
          <w:sz w:val="21"/>
        </w:rPr>
        <w:t>document parameter resolution、absolute/relative magnitude authority、mirror pair、multi-parameter joint edit、no-op refusal、master isolation。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4.7 Pre-solve solid-effect verification</w:t>
      </w:r>
    </w:p>
    <w:p>
      <w:r>
        <w:rPr>
          <w:rFonts w:ascii="Times New Roman" w:hAnsi="Times New Roman" w:eastAsia="宋体"/>
          <w:b w:val="0"/>
          <w:i w:val="0"/>
          <w:sz w:val="21"/>
        </w:rPr>
        <w:t>triangle cells、target window、changed cells、radial boundary、fail-closed。这里是 engineering contribution，要画流程图。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4.8 Falsifiable prediction scoring and engineering experience memory</w:t>
      </w:r>
    </w:p>
    <w:p>
      <w:r>
        <w:rPr>
          <w:rFonts w:ascii="Times New Roman" w:hAnsi="Times New Roman" w:eastAsia="宋体"/>
          <w:b w:val="0"/>
          <w:i w:val="0"/>
          <w:sz w:val="21"/>
        </w:rPr>
        <w:t>mesh noise floor、confirmed/partial/refuted/unmoved、rule lifecycle、evidence count、cross-family generalization。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5. Experimental Setup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5.1 Dataset and design families: D19/D27 verified; D15–D29 extended families; D01–D32 dependency coverage.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5.2 Hardware/software: ANSYS 18.1, Gmsh, Flash model, Python harness.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5.3 Metrics: exact-set accuracy, wrong accepted, Wilson CI, submission rate, calls; feedback evidence rate; revise patch accuracy; prediction outcome distribution; rule sample count.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5.4 Baselines: one-shot LLM, execution-only repair, generic harness, multi-agent without feature graph, surrogate/Kriging or Bayesian optimization for selected cases.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6. Results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6.1 Feature dependency coverage across 32 families</w:t>
      </w:r>
    </w:p>
    <w:p>
      <w:r>
        <w:rPr>
          <w:rFonts w:ascii="Times New Roman" w:hAnsi="Times New Roman" w:eastAsia="宋体"/>
          <w:b w:val="0"/>
          <w:i w:val="0"/>
          <w:sz w:val="21"/>
        </w:rPr>
        <w:t>报告 mirror/fillet/contour/feature 32/32；pattern 28/32（D01–D04 无 pattern）；group count median 19。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6.2 Face-selection benchmark</w:t>
      </w:r>
    </w:p>
    <w:p>
      <w:r>
        <w:rPr>
          <w:rFonts w:ascii="Times New Roman" w:hAnsi="Times New Roman" w:eastAsia="宋体"/>
          <w:b w:val="0"/>
          <w:i w:val="0"/>
          <w:sz w:val="21"/>
        </w:rPr>
        <w:t>报告 51/51 exact、0 wrong accepted、Wilson interval；明确 D19/D27 verified vs provisional references。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6.3 Pre-solve solid-effect verification</w:t>
      </w:r>
    </w:p>
    <w:p>
      <w:r>
        <w:rPr>
          <w:rFonts w:ascii="Times New Roman" w:hAnsi="Times New Roman" w:eastAsia="宋体"/>
          <w:b w:val="0"/>
          <w:i w:val="0"/>
          <w:sz w:val="21"/>
        </w:rPr>
        <w:t>报告 D27 bore 60→63 的 target min radius、area、changed cells；说明 no-op patch 不能进入 solve。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6.4 Closed-loop turbine disk case studies</w:t>
      </w:r>
    </w:p>
    <w:p>
      <w:r>
        <w:rPr>
          <w:rFonts w:ascii="Times New Roman" w:hAnsi="Times New Roman" w:eastAsia="宋体"/>
          <w:b w:val="0"/>
          <w:i w:val="0"/>
          <w:sz w:val="21"/>
        </w:rPr>
        <w:t>D27：bore 60→66，peak -1.22%，但 noise floor 3.81%，判定 unmoved。D19：60→63→66，peak 1149.708→1150.936→1152.771 MPa，两次 prediction refuted，load-surface stress +6.09%/+5.06%。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6.5 Feedback and revise reliability</w:t>
      </w:r>
    </w:p>
    <w:p>
      <w:r>
        <w:rPr>
          <w:rFonts w:ascii="Times New Roman" w:hAnsi="Times New Roman" w:eastAsia="宋体"/>
          <w:b w:val="0"/>
          <w:i w:val="0"/>
          <w:sz w:val="21"/>
        </w:rPr>
        <w:t>feedback 7/7 accepted、evidence 58/58；revise applied patch 3/3 grounded；document patch correctness 10/11；master changed 0。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6.6 Engineering experience learning</w:t>
      </w:r>
    </w:p>
    <w:p>
      <w:r>
        <w:rPr>
          <w:rFonts w:ascii="Times New Roman" w:hAnsi="Times New Roman" w:eastAsia="宋体"/>
          <w:b w:val="0"/>
          <w:i w:val="0"/>
          <w:sz w:val="21"/>
        </w:rPr>
        <w:t>展示 seed→candidate→refuted 的状态变化；当前 1 条真实 refuted rule；讨论 trusted 所需样本数。</w:t>
      </w:r>
    </w:p>
    <w:p>
      <w:pPr>
        <w:pStyle w:val="Heading3"/>
      </w:pPr>
      <w:r>
        <w:rPr>
          <w:rFonts w:ascii="Arial" w:hAnsi="Arial" w:eastAsia="黑体"/>
          <w:b/>
          <w:sz w:val="22"/>
        </w:rPr>
        <w:t>6.7 Ablation study</w:t>
      </w:r>
    </w:p>
    <w:p>
      <w:r>
        <w:rPr>
          <w:rFonts w:ascii="Times New Roman" w:hAnsi="Times New Roman" w:eastAsia="宋体"/>
          <w:b w:val="0"/>
          <w:i w:val="0"/>
          <w:sz w:val="21"/>
        </w:rPr>
        <w:t>必须做：no feature graph、no solid-effect gate、no prediction scoring、no noise floor、single-agent vs multi-agent、generic harness vs domain-measured harness。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7. Discussion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Why feature-aware measurement is necessary in aero-engine CAD–FEA.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Why execution success is not physical success.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Why refutation and unmoved outcomes are scientifically useful.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When an agent should needs_input or skip rather than invent a design change.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Engineering implications for turbine disk design reuse and certification.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8. Limitations and Future Work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Current real closed-loop evidence is concentrated in D27/D19; need more families.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Trusted rules are not yet statistically mature.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Non-global-Z solver-level validation is blocked by rigid-transform topology support.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Current objective is primarily stress/displacement; extend to fatigue, creep, burst margin, life and uncertainty.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Future: multi-objective Pareto repair, uncertainty-aware feedback, expert-in-the-loop validation.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9. Conclusion</w:t>
      </w:r>
    </w:p>
    <w:p>
      <w:r>
        <w:rPr>
          <w:rFonts w:ascii="Times New Roman" w:hAnsi="Times New Roman" w:eastAsia="宋体"/>
          <w:b w:val="0"/>
          <w:i w:val="0"/>
          <w:sz w:val="21"/>
        </w:rPr>
        <w:t>用三句话收束：framework、evidence、engineering significance。不要重复摘要。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5. 投稿前必须补的实验（按优先级）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P0：支撑主创新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至少再跑 4–6 个涡轮盘设计族的完整两 revision 闭环；每个 case 固定 experiment，并报告 noise floor。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形成至少 2 条 trusted、2 条 refuted、2 条跨族复用规则；每条规则列出真实 run、方向、参数、样本数和 side effects。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完成 ablation：去掉 feature graph、去掉 solid-effect gate、去掉 prediction/noise floor，各自对 exact patch、wrong attribution、refuted detection 的影响。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增加 baseline：one-shot LLM、execution-only repair、generic harness、Kriging/Bayesian optimization 或人工工程师。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增加工程验证：载荷守恒、mesh independence、关键案例人工复核、制造/几何可行性拒绝率。</w:t>
      </w:r>
    </w:p>
    <w:p>
      <w:pPr>
        <w:pStyle w:val="Heading2"/>
      </w:pPr>
      <w:r>
        <w:rPr>
          <w:rFonts w:ascii="Arial" w:hAnsi="Arial" w:eastAsia="黑体"/>
          <w:b/>
          <w:sz w:val="25"/>
        </w:rPr>
        <w:t>P1：增强 CJA 说服力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扩展 D19/D27 的 fatigue/creep 或 safety margin 指标，至少作为 discussion。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给出跨族 negative transfer 分析：什么规则从 D27 到 D19 会失败。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把 D19 bore-opening 失败 case 作为 main case study，而不是藏在附录。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非 Z 若无法完成 OCAF transform，就在 limitations 明确说明，不要把它写成已验证的工业能力。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6. 审稿人最可能的质疑与回应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审稿人质疑</w:t>
            </w:r>
          </w:p>
        </w:tc>
        <w:tc>
          <w:tcPr>
            <w:tcW w:type="dxa" w:w="6520"/>
          </w:tcPr>
          <w:p>
            <w:r/>
            <w:r>
              <w:rPr>
                <w:rFonts w:ascii="Arial" w:hAnsi="Arial" w:eastAsia="黑体"/>
                <w:b/>
                <w:sz w:val="19"/>
              </w:rPr>
              <w:t>建议回应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“LLM/CAE automation 已经很多人做了。”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不要把贡献写成首个自动 FEA；写成首个面向涡轮盘 feature 修复的 solid-effect + falsifiable loop。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“这是不是只是 prompt engineering？”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强调 harness 中的 measurement、dependency graph、solid-effect gate、noise-floor scoring 和 fail-closed protocol。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“为什么需要 agent，不用贝叶斯优化？”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Agent 处理的是非结构化诊断、特征语义、不可达参数和模型修复；BM/Bayesian 作为对照实验证明边界。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“为什么结果有时 refuted 或 unmoved？”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这正是贡献：系统能识别不真实改进；refutation 和 unmoved 是物理证据，不是失败。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“知识学习是否只是 memory？”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强调规则必须来自真实 run，带有 mechanism/parameter/direction、noise、side effects 和跨族 transfer。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8"/>
              </w:rPr>
              <w:t>“涡轮盘领域太窄。”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宋体"/>
                <w:sz w:val="18"/>
              </w:rPr>
              <w:t>窄领域正适合 CJA；先把涡轮盘的可信闭环做深，再讨论通用化。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sz w:val="30"/>
        </w:rPr>
        <w:t>7. 建议写入摘要的定量结果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Feature dependency coverage: 32 families; mirror/fillet/contour/feature 100%; pattern 28/32.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Face selection: 51/51 exact; 0 wrong accepted; submission 100%; Wilson 95% CI [0.930, 1.0].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Pre-solve solid effect: D27 bore 60→63; target min radius 59.856→62.819 mm; local area 199259.7→198374.9 mm2; target changed.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Closed-loop D19: 1149.708→1150.936→1152.771 MPa; two bore-opening predictions refuted; load-surface stress side effects +6.09%/+5.06%.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D27 paired experiment: 1709.359→1688.457 MPa (-1.22%), but noise floor 3.81%, verdict unmoved.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Feedback/revise: 7/7 accepted, evidence 58/58; applied patches 3/3 grounded, master changed 0.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Prediction outcomes: 2 confirmed, 4 refuted, 1 unmoved; 1 real refuted rule with sample.</w:t>
      </w:r>
    </w:p>
    <w:p>
      <w:r>
        <w:rPr>
          <w:rFonts w:ascii="Times New Roman" w:hAnsi="Times New Roman" w:eastAsia="宋体"/>
          <w:b w:val="0"/>
          <w:i w:val="0"/>
          <w:sz w:val="21"/>
        </w:rPr>
        <w:t>注意：摘要里不要写“successful automatic optimization”，应写“evidence-grounded feedback and repair with confirmation/refutation”。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8. 参考文献候选（用于 Related Work 起步）</w:t>
      </w:r>
    </w:p>
    <w:p>
      <w:r>
        <w:rPr>
          <w:rFonts w:ascii="Times New Roman" w:hAnsi="Times New Roman" w:eastAsia="宋体"/>
          <w:b w:val="0"/>
          <w:i w:val="0"/>
          <w:sz w:val="21"/>
        </w:rPr>
        <w:t>[1] CFD-copilot: Leveraging domain-adapted large language model and model context protocol to enhance simulation automation. Chinese Journal of Aeronautics, 2026. DOI: 10.1016/j.cja.2026.104321.</w:t>
      </w:r>
    </w:p>
    <w:p>
      <w:r>
        <w:rPr>
          <w:rFonts w:ascii="Times New Roman" w:hAnsi="Times New Roman" w:eastAsia="宋体"/>
          <w:b w:val="0"/>
          <w:i w:val="0"/>
          <w:sz w:val="21"/>
        </w:rPr>
        <w:t>[2] AbaqusAgent: A Multi-AI-agent Framework Enabling End-to-end Finite Element Analysis for Solid Mechanics Problems. arXiv:2606.00138, 2026.</w:t>
      </w:r>
    </w:p>
    <w:p>
      <w:r>
        <w:rPr>
          <w:rFonts w:ascii="Times New Roman" w:hAnsi="Times New Roman" w:eastAsia="宋体"/>
          <w:b w:val="0"/>
          <w:i w:val="0"/>
          <w:sz w:val="21"/>
        </w:rPr>
        <w:t>[3] ALL-FEM: Agentic Large Language Models Fine-tuned for Finite Element Methods. Computer Methods in Applied Mechanics and Engineering, 2026. DOI: 10.1016/j.cma.2026.118985.</w:t>
      </w:r>
    </w:p>
    <w:p>
      <w:r>
        <w:rPr>
          <w:rFonts w:ascii="Times New Roman" w:hAnsi="Times New Roman" w:eastAsia="宋体"/>
          <w:b w:val="0"/>
          <w:i w:val="0"/>
          <w:sz w:val="21"/>
        </w:rPr>
        <w:t>[4] AutoFEA: Enhancing AI Copilot by Integrating Finite Element Analysis Using Large Language Models with Graph Neural Networks. AAAI 2025. DOI: 10.1609/aaai.v39i22.34582.</w:t>
      </w:r>
    </w:p>
    <w:p>
      <w:r>
        <w:rPr>
          <w:rFonts w:ascii="Times New Roman" w:hAnsi="Times New Roman" w:eastAsia="宋体"/>
          <w:b w:val="0"/>
          <w:i w:val="0"/>
          <w:sz w:val="21"/>
        </w:rPr>
        <w:t>[5] PAMF: An LLM-driven framework for automated mesh generation in mechanical simulation and CAE workflows. Journal of Mechanical Science and Technology, 2026. DOI: 10.1007/s12206-026-0334-6.</w:t>
      </w:r>
    </w:p>
    <w:p>
      <w:r>
        <w:rPr>
          <w:rFonts w:ascii="Times New Roman" w:hAnsi="Times New Roman" w:eastAsia="宋体"/>
          <w:b w:val="0"/>
          <w:i w:val="0"/>
          <w:sz w:val="21"/>
        </w:rPr>
        <w:t>[6] MechAgents: Large language model multi-agent collaborations can solve mechanics problems, generate new data, and integrate knowledge. Extreme Mechanics Letters, 2024. DOI: 10.1016/j.eml.2024.102131.</w:t>
      </w:r>
    </w:p>
    <w:p>
      <w:r>
        <w:rPr>
          <w:rFonts w:ascii="Times New Roman" w:hAnsi="Times New Roman" w:eastAsia="宋体"/>
          <w:b w:val="0"/>
          <w:i w:val="0"/>
          <w:sz w:val="21"/>
        </w:rPr>
        <w:t>[7] Large Language Model Agent as a Mechanical Designer. Journal of Engineering Design, 2026 / arXiv:2404.17525. DOI: 10.1080/09544828.2026.2624356.</w:t>
      </w:r>
    </w:p>
    <w:p>
      <w:r>
        <w:rPr>
          <w:rFonts w:ascii="Times New Roman" w:hAnsi="Times New Roman" w:eastAsia="宋体"/>
          <w:b w:val="0"/>
          <w:i w:val="0"/>
          <w:sz w:val="21"/>
        </w:rPr>
        <w:t>[8] Large language model-empowered next-generation computer-aided engineering. Computer Methods in Applied Mechanics and Engineering, 2025. DOI: 10.1016/j.cma.2025.118591.</w:t>
      </w:r>
    </w:p>
    <w:p>
      <w:r>
        <w:rPr>
          <w:rFonts w:ascii="Times New Roman" w:hAnsi="Times New Roman" w:eastAsia="宋体"/>
          <w:b w:val="0"/>
          <w:i w:val="0"/>
          <w:sz w:val="21"/>
        </w:rPr>
        <w:t>[9] What Do CAE Simulation Agents Really Need Beyond a Generic Harness? arXiv:2609.03718, 2026.</w:t>
      </w:r>
    </w:p>
    <w:p>
      <w:r>
        <w:rPr>
          <w:rFonts w:ascii="Times New Roman" w:hAnsi="Times New Roman" w:eastAsia="宋体"/>
          <w:b w:val="0"/>
          <w:i w:val="0"/>
          <w:sz w:val="21"/>
        </w:rPr>
        <w:t>[10] OpenFOAMGPT: A retrieval-augmented large language model (LLM) agent for OpenFOAM-based computational fluid dynamics. Physics of Fluids, 2025. DOI: 10.1063/5.0257555.</w:t>
      </w:r>
    </w:p>
    <w:p>
      <w:r>
        <w:rPr>
          <w:rFonts w:ascii="Times New Roman" w:hAnsi="Times New Roman" w:eastAsia="宋体"/>
          <w:b w:val="0"/>
          <w:i w:val="0"/>
          <w:sz w:val="21"/>
        </w:rPr>
        <w:t>[11] A rapidly structured aircraft concept design method based on generative artificial intelligence. Chinese Journal of Aeronautics, 2025. DOI: 10.1016/j.cja.2025.103629.</w:t>
      </w:r>
    </w:p>
    <w:p>
      <w:r>
        <w:rPr>
          <w:rFonts w:ascii="Times New Roman" w:hAnsi="Times New Roman" w:eastAsia="宋体"/>
          <w:b w:val="0"/>
          <w:i w:val="0"/>
          <w:sz w:val="21"/>
        </w:rPr>
        <w:t>[12] Topology optimization of turbine disk considering maximum stress prediction and constraints. Chinese Journal of Aeronautics, 2023. DOI: 10.1016/j.cja.2023.03.019.</w:t>
      </w:r>
    </w:p>
    <w:p>
      <w:r>
        <w:rPr>
          <w:rFonts w:ascii="Times New Roman" w:hAnsi="Times New Roman" w:eastAsia="宋体"/>
          <w:b w:val="0"/>
          <w:i w:val="0"/>
          <w:sz w:val="21"/>
        </w:rPr>
        <w:t>[13] Optimal location and shape definition of elliptical ventilation openings on aero engine turbine rotors with stress concentration effect. Chinese Journal of Aeronautics, 2021. DOI: 10.1016/j.cja.2021.05.003.</w:t>
      </w:r>
    </w:p>
    <w:p>
      <w:r>
        <w:rPr>
          <w:rFonts w:ascii="Times New Roman" w:hAnsi="Times New Roman" w:eastAsia="宋体"/>
          <w:b w:val="0"/>
          <w:i w:val="0"/>
          <w:sz w:val="21"/>
        </w:rPr>
        <w:t>[14] Surrogate-based optimization with improved support vector regression for non-circular vent hole on aero-engine turbine disk. Aerospace Science and Technology, 2019. DOI: 10.1016/j.ast.2019.105332.</w:t>
      </w:r>
    </w:p>
    <w:p>
      <w:r>
        <w:rPr>
          <w:rFonts w:ascii="Times New Roman" w:hAnsi="Times New Roman" w:eastAsia="宋体"/>
          <w:b w:val="0"/>
          <w:i w:val="0"/>
          <w:sz w:val="21"/>
        </w:rPr>
        <w:t>[15] Topology and shape optimization of twin-web turbine disk. Structural and Multidisciplinary Optimization, 2022. DOI: 10.1007/s00158-021-03147-z.</w:t>
      </w:r>
    </w:p>
    <w:p>
      <w:r>
        <w:rPr>
          <w:rFonts w:ascii="Times New Roman" w:hAnsi="Times New Roman" w:eastAsia="宋体"/>
          <w:b w:val="0"/>
          <w:i w:val="0"/>
          <w:sz w:val="21"/>
        </w:rPr>
        <w:t>[16] A unified fatigue reliability-based design optimization framework for aircraft turbine disk. International Journal of Fatigue, 2021. DOI: 10.1016/j.ijfatigue.2021.106422.</w:t>
      </w:r>
    </w:p>
    <w:p>
      <w:r>
        <w:rPr>
          <w:rFonts w:ascii="Times New Roman" w:hAnsi="Times New Roman" w:eastAsia="宋体"/>
          <w:b w:val="0"/>
          <w:i w:val="0"/>
          <w:sz w:val="21"/>
        </w:rPr>
        <w:t>[17] A data-driven roadmap for creep-fatigue reliability assessment and its implementation in low-pressure turbine disk at elevated temperatures. Reliability Engineering &amp; System Safety, 2022. DOI: 10.1016/j.ress.2022.108523.</w:t>
      </w:r>
    </w:p>
    <w:p>
      <w:r>
        <w:rPr>
          <w:rFonts w:ascii="Times New Roman" w:hAnsi="Times New Roman" w:eastAsia="宋体"/>
          <w:b w:val="0"/>
          <w:i w:val="0"/>
          <w:sz w:val="21"/>
        </w:rPr>
        <w:t>[18] ExpeL: LLM Agents Are Experiential Learners. AAAI 2024. DOI: 10.1609/aaai.v38i17.29936.</w:t>
      </w:r>
    </w:p>
    <w:p>
      <w:r>
        <w:rPr>
          <w:rFonts w:ascii="Times New Roman" w:hAnsi="Times New Roman" w:eastAsia="宋体"/>
          <w:b w:val="0"/>
          <w:i w:val="0"/>
          <w:sz w:val="21"/>
        </w:rPr>
        <w:t>[19] Reflexion: Language Agents with Verbal Reinforcement Learning. arXiv:2303.11366, 2023.</w:t>
      </w:r>
    </w:p>
    <w:p>
      <w:r>
        <w:rPr>
          <w:rFonts w:ascii="Times New Roman" w:hAnsi="Times New Roman" w:eastAsia="宋体"/>
          <w:b w:val="0"/>
          <w:i w:val="0"/>
          <w:sz w:val="21"/>
        </w:rPr>
        <w:t>[20] Self-Refine: Iterative Refinement with Self-Feedback. arXiv:2303.17651, 2023.</w:t>
      </w:r>
    </w:p>
    <w:p>
      <w:r>
        <w:rPr>
          <w:rFonts w:ascii="Times New Roman" w:hAnsi="Times New Roman" w:eastAsia="宋体"/>
          <w:b w:val="0"/>
          <w:i w:val="0"/>
          <w:sz w:val="21"/>
        </w:rPr>
        <w:t>[21] CRITIC: Large Language Models Can Self-Correct with Tool-Interactive Critiquing. arXiv:2305.11738, 2023.</w:t>
      </w:r>
    </w:p>
    <w:p>
      <w:r>
        <w:rPr>
          <w:rFonts w:ascii="Times New Roman" w:hAnsi="Times New Roman" w:eastAsia="宋体"/>
          <w:b w:val="0"/>
          <w:i w:val="0"/>
          <w:sz w:val="21"/>
        </w:rPr>
        <w:t>[22] A study in applying case-based reasoning to engineering design: Mechanical bearing design. Artificial Intelligence for Engineering Design, Analysis and Manufacturing, 2003. DOI: 10.1017/s0890060403173064.</w:t>
      </w:r>
    </w:p>
    <w:p>
      <w:r>
        <w:rPr>
          <w:rFonts w:ascii="Times New Roman" w:hAnsi="Times New Roman" w:eastAsia="宋体"/>
          <w:b w:val="0"/>
          <w:i w:val="0"/>
          <w:sz w:val="21"/>
        </w:rPr>
        <w:t>[23] An engineering design knowledge reuse methodology using process modelling. Research in Engineering Design, 2007. DOI: 10.1007/s00163-007-0028-8.</w:t>
      </w:r>
    </w:p>
    <w:p>
      <w:r>
        <w:rPr>
          <w:rFonts w:ascii="Times New Roman" w:hAnsi="Times New Roman" w:eastAsia="宋体"/>
          <w:b w:val="0"/>
          <w:i w:val="0"/>
          <w:sz w:val="21"/>
        </w:rPr>
        <w:t>[24] Multidisciplinary Design Optimization of Turbine Disks Based on ANSYS Workbench Platforms. Procedia Engineering, 2015. DOI: 10.1016/j.proeng.2014.12.659.</w:t>
      </w:r>
    </w:p>
    <w:p>
      <w:r>
        <w:rPr>
          <w:rFonts w:ascii="Times New Roman" w:hAnsi="Times New Roman" w:eastAsia="宋体"/>
          <w:b w:val="0"/>
          <w:i w:val="0"/>
          <w:sz w:val="21"/>
        </w:rPr>
        <w:t>[25] An LLM-guided structural optimization method for aero-engine lubrication hydrocyclones. Separation and Purification Technology, 2026. DOI: 10.1016/j.seppur.2026.137096.</w:t>
      </w:r>
    </w:p>
    <w:p>
      <w:pPr>
        <w:pStyle w:val="Heading1"/>
      </w:pPr>
      <w:r>
        <w:rPr>
          <w:rFonts w:ascii="Arial" w:hAnsi="Arial" w:eastAsia="黑体"/>
          <w:b/>
          <w:sz w:val="30"/>
        </w:rPr>
        <w:t>附录：检索方法与证据边界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检索源：OpenAlex API、Crossref API、arXiv API、Elsevier article metadata；检索日期：2026-09-20。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检索主题：LLM/CAE、LLM/FEA、agentic simulation、automatic boundary conditions、turbine disk optimization、surrogate/optimization、engineering knowledge reuse、experience learning。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部分 Elsevier 论文摘要未公开返回；对这些工作使用标题、期刊元数据和可获取摘要定位，不把标题推断成具体算法细节。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“已有工作”结论用于定位和写作策略，不替代投稿前的逐篇全文精读；正式 Related Work 前应下载全文并核验方法、数据集和指标。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你的工作尚未达到“稳定自动应力优化器”的成熟度，因此论文应定位为 framework + evidence + case study，而不是工业级 optimizer。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