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keepNext/>
        <w:spacing w:after="240"/>
        <w:ind w:firstLine="0"/>
        <w:jc w:val="center"/>
      </w:pPr>
      <w:r>
        <w:rPr>
          <w:rFonts w:ascii="Times New Roman" w:hAnsi="Times New Roman" w:eastAsia="黑体" w:cs="Times New Roman"/>
          <w:b/>
          <w:sz w:val="36"/>
        </w:rPr>
        <w:t xml:space="preserve">补充材料</w:t>
      </w:r>
    </w:p>
    <w:bookmarkStart w:id="20" w:name="面向航空发动机涡轮盘的自然语言参数化cad建模领域大模型与多智能体自校正"/>
    <w:p>
      <w:pPr>
        <w:pStyle w:val="Heading1"/>
        <w:keepNext/>
        <w:keepLines/>
        <w:ind w:firstLine="0"/>
        <w:jc w:val="left"/>
      </w:pPr>
      <w:r>
        <w:rPr>
          <w:rFonts w:ascii="Times New Roman" w:hAnsi="Times New Roman" w:eastAsia="黑体" w:cs="Times New Roman"/>
          <w:b/>
          <w:sz w:val="28"/>
        </w:rPr>
        <w:t xml:space="preserve">面向航空发动机涡轮盘的自然语言参数化CAD建模：领域大模型与多智能体自校正</w:t>
      </w:r>
    </w:p>
    <w:p>
      <w:pPr>
        <w:pStyle w:val="FirstParagraph"/>
      </w:pPr>
      <w:r>
        <w:rPr>
          <w:rFonts w:ascii="Times New Roman" w:hAnsi="Times New Roman" w:eastAsia="宋体" w:cs="Times New Roman"/>
          <w:sz w:val="21"/>
        </w:rPr>
        <w:t xml:space="preserve">本补充材料给出主文中压缩或移出的数据集构成、操作注册表、基准设置、评价指标、实现环境和扩展结果。所有名称、数据和实验结果与主文一致。</w:t>
      </w:r>
    </w:p>
    <w:bookmarkEnd w:id="20"/>
    <w:bookmarkStart w:id="24" w:name="s1-nl2diskcad数据集构成"/>
    <w:p>
      <w:pPr>
        <w:pStyle w:val="Heading1"/>
        <w:keepNext/>
        <w:keepLines/>
        <w:ind w:firstLine="0"/>
        <w:jc w:val="left"/>
      </w:pPr>
      <w:r>
        <w:rPr>
          <w:rFonts w:ascii="Times New Roman" w:hAnsi="Times New Roman" w:eastAsia="黑体" w:cs="Times New Roman"/>
          <w:b/>
          <w:sz w:val="28"/>
        </w:rPr>
        <w:t xml:space="preserve">S1 NL2DiskCAD数据集构成</w:t>
      </w:r>
    </w:p>
    <w:bookmarkStart w:id="21" w:name="s1.1-种子设计族"/>
    <w:p>
      <w:pPr>
        <w:pStyle w:val="Heading2"/>
        <w:keepNext/>
        <w:keepLines/>
        <w:ind w:firstLine="0"/>
        <w:jc w:val="left"/>
      </w:pPr>
      <w:r>
        <w:rPr>
          <w:rFonts w:ascii="Times New Roman" w:hAnsi="Times New Roman" w:eastAsia="黑体" w:cs="Times New Roman"/>
          <w:b/>
          <w:sz w:val="24"/>
        </w:rPr>
        <w:t xml:space="preserve">S1.1 种子设计族</w:t>
      </w:r>
    </w:p>
    <w:p>
      <w:pPr>
        <w:pStyle w:val="Caption"/>
        <w:keepNext/>
        <w:spacing w:line="240" w:lineRule="auto" w:before="60" w:after="100"/>
        <w:ind w:firstLine="0"/>
        <w:jc w:val="center"/>
      </w:pPr>
      <w:r>
        <w:rPr>
          <w:rFonts w:ascii="Times New Roman" w:hAnsi="Times New Roman" w:eastAsia="宋体" w:cs="Times New Roman"/>
          <w:b/>
          <w:bCs/>
          <w:sz w:val="18"/>
        </w:rPr>
        <w:t xml:space="preserve">表S1 NL2DiskCAD种子设计族构成</w:t>
      </w:r>
    </w:p>
    <w:tbl>
      <w:tblPr>
        <w:tblStyle w:val="TableGrid"/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60"/>
        <w:gridCol w:w="1860"/>
        <w:gridCol w:w="1860"/>
        <w:gridCol w:w="1860"/>
        <w:gridCol w:w="1860"/>
      </w:tblGrid>
      <w:tr>
        <w:trPr>
          <w:tblHeader w:val="true"/>
        </w:trPr>
        <w:tc>
          <w:tcPr>
            <w:tcW w:type="dxa" w:w="4535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设计族类别</w:t>
            </w:r>
          </w:p>
        </w:tc>
        <w:tc>
          <w:tcPr>
            <w:tcW w:type="dxa" w:w="123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训练族</w:t>
            </w:r>
          </w:p>
        </w:tc>
        <w:tc>
          <w:tcPr>
            <w:tcW w:type="dxa" w:w="123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验证族</w:t>
            </w:r>
          </w:p>
        </w:tc>
        <w:tc>
          <w:tcPr>
            <w:tcW w:type="dxa" w:w="123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测试族</w:t>
            </w:r>
          </w:p>
        </w:tc>
        <w:tc>
          <w:tcPr>
            <w:tcW w:type="dxa" w:w="825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合计</w:t>
            </w:r>
          </w:p>
        </w:tc>
      </w:tr>
      <w:tr>
        <w:tc>
          <w:tcPr>
            <w:tcW w:type="dxa" w:w="4535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基础轮毂-腹板-轮缘盘</w:t>
            </w:r>
          </w:p>
        </w:tc>
        <w:tc>
          <w:tcPr>
            <w:tcW w:type="dxa" w:w="123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</w:t>
            </w:r>
          </w:p>
        </w:tc>
        <w:tc>
          <w:tcPr>
            <w:tcW w:type="dxa" w:w="123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</w:t>
            </w:r>
          </w:p>
        </w:tc>
        <w:tc>
          <w:tcPr>
            <w:tcW w:type="dxa" w:w="123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825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</w:tr>
      <w:tr>
        <w:tc>
          <w:tcPr>
            <w:tcW w:type="dxa" w:w="4535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中心孔与周向孔阵列盘</w:t>
            </w:r>
          </w:p>
        </w:tc>
        <w:tc>
          <w:tcPr>
            <w:tcW w:type="dxa" w:w="123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</w:t>
            </w:r>
          </w:p>
        </w:tc>
        <w:tc>
          <w:tcPr>
            <w:tcW w:type="dxa" w:w="123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123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825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</w:t>
            </w:r>
          </w:p>
        </w:tc>
      </w:tr>
      <w:tr>
        <w:tc>
          <w:tcPr>
            <w:tcW w:type="dxa" w:w="4535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环槽与减重结构盘</w:t>
            </w:r>
          </w:p>
        </w:tc>
        <w:tc>
          <w:tcPr>
            <w:tcW w:type="dxa" w:w="123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</w:t>
            </w:r>
          </w:p>
        </w:tc>
        <w:tc>
          <w:tcPr>
            <w:tcW w:type="dxa" w:w="123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123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825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</w:t>
            </w:r>
          </w:p>
        </w:tc>
      </w:tr>
      <w:tr>
        <w:tc>
          <w:tcPr>
            <w:tcW w:type="dxa" w:w="4535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标准枞树形榫槽盘</w:t>
            </w:r>
          </w:p>
        </w:tc>
        <w:tc>
          <w:tcPr>
            <w:tcW w:type="dxa" w:w="123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</w:t>
            </w:r>
          </w:p>
        </w:tc>
        <w:tc>
          <w:tcPr>
            <w:tcW w:type="dxa" w:w="123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123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type="dxa" w:w="825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8</w:t>
            </w:r>
          </w:p>
        </w:tc>
      </w:tr>
      <w:tr>
        <w:tc>
          <w:tcPr>
            <w:tcW w:type="dxa" w:w="4535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榫槽-孔阵列-环槽耦合盘</w:t>
            </w:r>
          </w:p>
        </w:tc>
        <w:tc>
          <w:tcPr>
            <w:tcW w:type="dxa" w:w="123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123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123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825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</w:t>
            </w:r>
          </w:p>
        </w:tc>
      </w:tr>
      <w:tr>
        <w:tc>
          <w:tcPr>
            <w:tcW w:type="dxa" w:w="4535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复杂轮缘过渡与榫槽组合盘</w:t>
            </w:r>
          </w:p>
        </w:tc>
        <w:tc>
          <w:tcPr>
            <w:tcW w:type="dxa" w:w="123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type="dxa" w:w="123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</w:t>
            </w:r>
          </w:p>
        </w:tc>
        <w:tc>
          <w:tcPr>
            <w:tcW w:type="dxa" w:w="123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type="dxa" w:w="825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</w:tr>
      <w:tr>
        <w:tc>
          <w:tcPr>
            <w:tcW w:type="dxa" w:w="4535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合计</w:t>
            </w:r>
          </w:p>
        </w:tc>
        <w:tc>
          <w:tcPr>
            <w:tcW w:type="dxa" w:w="123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20</w:t>
            </w:r>
          </w:p>
        </w:tc>
        <w:tc>
          <w:tcPr>
            <w:tcW w:type="dxa" w:w="123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4</w:t>
            </w:r>
          </w:p>
        </w:tc>
        <w:tc>
          <w:tcPr>
            <w:tcW w:type="dxa" w:w="123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8</w:t>
            </w:r>
          </w:p>
        </w:tc>
        <w:tc>
          <w:tcPr>
            <w:tcW w:type="dxa" w:w="825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32</w:t>
            </w:r>
          </w:p>
        </w:tc>
      </w:tr>
    </w:tbl>
    <w:bookmarkEnd w:id="21"/>
    <w:bookmarkStart w:id="22" w:name="s1.2-候选模型执行过滤"/>
    <w:p>
      <w:pPr>
        <w:pStyle w:val="Heading2"/>
        <w:keepNext/>
        <w:keepLines/>
        <w:ind w:firstLine="0"/>
        <w:jc w:val="left"/>
      </w:pPr>
      <w:r>
        <w:rPr>
          <w:rFonts w:ascii="Times New Roman" w:hAnsi="Times New Roman" w:eastAsia="黑体" w:cs="Times New Roman"/>
          <w:b/>
          <w:sz w:val="24"/>
        </w:rPr>
        <w:t xml:space="preserve">S1.2 候选模型执行过滤</w:t>
      </w:r>
    </w:p>
    <w:p>
      <w:pPr>
        <w:pStyle w:val="FirstParagraph"/>
      </w:pPr>
      <w:r>
        <w:rPr>
          <w:rFonts w:ascii="Times New Roman" w:hAnsi="Times New Roman" w:eastAsia="宋体" w:cs="Times New Roman"/>
          <w:sz w:val="21"/>
        </w:rPr>
        <w:t xml:space="preserve">用于训练和验证的24个设计族共生成102 400组候选参数配置。采样覆盖正常可行区、接近约束边界的区域和人为构造的不可行区域。各阶段保留情况见表S2。</w:t>
      </w:r>
    </w:p>
    <w:p>
      <w:pPr>
        <w:pStyle w:val="Caption"/>
        <w:keepNext/>
        <w:spacing w:line="240" w:lineRule="auto" w:before="60" w:after="100"/>
        <w:ind w:firstLine="0"/>
        <w:jc w:val="center"/>
      </w:pPr>
      <w:r>
        <w:rPr>
          <w:rFonts w:ascii="Times New Roman" w:hAnsi="Times New Roman" w:eastAsia="宋体" w:cs="Times New Roman"/>
          <w:b/>
          <w:bCs/>
          <w:sz w:val="18"/>
        </w:rPr>
        <w:t xml:space="preserve">表S2 候选模型的执行过滤过程</w:t>
      </w:r>
    </w:p>
    <w:tbl>
      <w:tblPr>
        <w:tblStyle w:val="TableGrid"/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291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阶段</w:t>
            </w:r>
          </w:p>
        </w:tc>
        <w:tc>
          <w:tcPr>
            <w:tcW w:type="dxa" w:w="356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主要检查内容</w:t>
            </w:r>
          </w:p>
        </w:tc>
        <w:tc>
          <w:tcPr>
            <w:tcW w:type="dxa" w:w="129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保留数量</w:t>
            </w:r>
          </w:p>
        </w:tc>
        <w:tc>
          <w:tcPr>
            <w:tcW w:type="dxa" w:w="129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保留率/%</w:t>
            </w:r>
          </w:p>
        </w:tc>
      </w:tr>
      <w:tr>
        <w:tc>
          <w:tcPr>
            <w:tcW w:type="dxa" w:w="291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初始参数配置</w:t>
            </w:r>
          </w:p>
        </w:tc>
        <w:tc>
          <w:tcPr>
            <w:tcW w:type="dxa" w:w="356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可行、边界和不可行参数采样</w:t>
            </w:r>
          </w:p>
        </w:tc>
        <w:tc>
          <w:tcPr>
            <w:tcW w:type="dxa" w:w="129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102 400</w:t>
            </w:r>
          </w:p>
        </w:tc>
        <w:tc>
          <w:tcPr>
            <w:tcW w:type="dxa" w:w="129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100.0</w:t>
            </w:r>
          </w:p>
        </w:tc>
      </w:tr>
      <w:tr>
        <w:tc>
          <w:tcPr>
            <w:tcW w:type="dxa" w:w="291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Schema与图结构检查</w:t>
            </w:r>
          </w:p>
        </w:tc>
        <w:tc>
          <w:tcPr>
            <w:tcW w:type="dxa" w:w="356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字段、节点、引用和有向无环性</w:t>
            </w:r>
          </w:p>
        </w:tc>
        <w:tc>
          <w:tcPr>
            <w:tcW w:type="dxa" w:w="129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88 064</w:t>
            </w:r>
          </w:p>
        </w:tc>
        <w:tc>
          <w:tcPr>
            <w:tcW w:type="dxa" w:w="129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86.0</w:t>
            </w:r>
          </w:p>
        </w:tc>
      </w:tr>
      <w:tr>
        <w:tc>
          <w:tcPr>
            <w:tcW w:type="dxa" w:w="291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参数与几何预检查</w:t>
            </w:r>
          </w:p>
        </w:tc>
        <w:tc>
          <w:tcPr>
            <w:tcW w:type="dxa" w:w="356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孔槽、榫槽及剩余材料约束</w:t>
            </w:r>
          </w:p>
        </w:tc>
        <w:tc>
          <w:tcPr>
            <w:tcW w:type="dxa" w:w="129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73 728</w:t>
            </w:r>
          </w:p>
        </w:tc>
        <w:tc>
          <w:tcPr>
            <w:tcW w:type="dxa" w:w="129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72.0</w:t>
            </w:r>
          </w:p>
        </w:tc>
      </w:tr>
      <w:tr>
        <w:tc>
          <w:tcPr>
            <w:tcW w:type="dxa" w:w="291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Compiler与CAD执行</w:t>
            </w:r>
          </w:p>
        </w:tc>
        <w:tc>
          <w:tcPr>
            <w:tcW w:type="dxa" w:w="356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几何操作、布尔运算和实体生成</w:t>
            </w:r>
          </w:p>
        </w:tc>
        <w:tc>
          <w:tcPr>
            <w:tcW w:type="dxa" w:w="129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61 952</w:t>
            </w:r>
          </w:p>
        </w:tc>
        <w:tc>
          <w:tcPr>
            <w:tcW w:type="dxa" w:w="129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60.5</w:t>
            </w:r>
          </w:p>
        </w:tc>
      </w:tr>
      <w:tr>
        <w:tc>
          <w:tcPr>
            <w:tcW w:type="dxa" w:w="291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模型质量检查</w:t>
            </w:r>
          </w:p>
        </w:tc>
        <w:tc>
          <w:tcPr>
            <w:tcW w:type="dxa" w:w="356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尺寸、特征、实体和拓扑检查</w:t>
            </w:r>
          </w:p>
        </w:tc>
        <w:tc>
          <w:tcPr>
            <w:tcW w:type="dxa" w:w="129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54 784</w:t>
            </w:r>
          </w:p>
        </w:tc>
        <w:tc>
          <w:tcPr>
            <w:tcW w:type="dxa" w:w="129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53.5</w:t>
            </w:r>
          </w:p>
        </w:tc>
      </w:tr>
      <w:tr>
        <w:tc>
          <w:tcPr>
            <w:tcW w:type="dxa" w:w="291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再生与STEP检查</w:t>
            </w:r>
          </w:p>
        </w:tc>
        <w:tc>
          <w:tcPr>
            <w:tcW w:type="dxa" w:w="356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参数再生、导出及重新导入</w:t>
            </w:r>
          </w:p>
        </w:tc>
        <w:tc>
          <w:tcPr>
            <w:tcW w:type="dxa" w:w="129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49 920</w:t>
            </w:r>
          </w:p>
        </w:tc>
        <w:tc>
          <w:tcPr>
            <w:tcW w:type="dxa" w:w="129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48.75</w:t>
            </w:r>
          </w:p>
        </w:tc>
      </w:tr>
    </w:tbl>
    <w:bookmarkEnd w:id="22"/>
    <w:bookmarkStart w:id="23" w:name="s1.3-任务数据组成"/>
    <w:p>
      <w:pPr>
        <w:pStyle w:val="Heading2"/>
        <w:keepNext/>
        <w:keepLines/>
        <w:ind w:firstLine="0"/>
        <w:jc w:val="left"/>
      </w:pPr>
      <w:r>
        <w:rPr>
          <w:rFonts w:ascii="Times New Roman" w:hAnsi="Times New Roman" w:eastAsia="黑体" w:cs="Times New Roman"/>
          <w:b/>
          <w:sz w:val="24"/>
        </w:rPr>
        <w:t xml:space="preserve">S1.3 任务数据组成</w:t>
      </w:r>
    </w:p>
    <w:p>
      <w:pPr>
        <w:pStyle w:val="Caption"/>
        <w:keepNext/>
        <w:spacing w:line="240" w:lineRule="auto" w:before="60" w:after="100"/>
        <w:ind w:firstLine="0"/>
        <w:jc w:val="center"/>
      </w:pPr>
      <w:r>
        <w:rPr>
          <w:rFonts w:ascii="Times New Roman" w:hAnsi="Times New Roman" w:eastAsia="宋体" w:cs="Times New Roman"/>
          <w:b/>
          <w:bCs/>
          <w:sz w:val="18"/>
        </w:rPr>
        <w:t xml:space="preserve">表S3 NL2DiskCAD任务数据组成</w:t>
      </w:r>
    </w:p>
    <w:tbl>
      <w:tblPr>
        <w:tblStyle w:val="TableGrid"/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288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子数据集</w:t>
            </w:r>
          </w:p>
        </w:tc>
        <w:tc>
          <w:tcPr>
            <w:tcW w:type="dxa" w:w="164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样本数量</w:t>
            </w:r>
          </w:p>
        </w:tc>
        <w:tc>
          <w:tcPr>
            <w:tcW w:type="dxa" w:w="4535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主要任务</w:t>
            </w:r>
          </w:p>
        </w:tc>
      </w:tr>
      <w:tr>
        <w:tc>
          <w:tcPr>
            <w:tcW w:type="dxa" w:w="288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NL2DiskCAD-Gen</w:t>
            </w:r>
          </w:p>
        </w:tc>
        <w:tc>
          <w:tcPr>
            <w:tcW w:type="dxa" w:w="164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149 760</w:t>
            </w:r>
          </w:p>
        </w:tc>
        <w:tc>
          <w:tcPr>
            <w:tcW w:type="dxa" w:w="4535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自然语言生成Feature Graph和Disk-G-CAD</w:t>
            </w:r>
          </w:p>
        </w:tc>
      </w:tr>
      <w:tr>
        <w:tc>
          <w:tcPr>
            <w:tcW w:type="dxa" w:w="288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DiskCAD-Edit</w:t>
            </w:r>
          </w:p>
        </w:tc>
        <w:tc>
          <w:tcPr>
            <w:tcW w:type="dxa" w:w="164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24 960</w:t>
            </w:r>
          </w:p>
        </w:tc>
        <w:tc>
          <w:tcPr>
            <w:tcW w:type="dxa" w:w="4535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根据修改指令调整参数和局部特征</w:t>
            </w:r>
          </w:p>
        </w:tc>
      </w:tr>
      <w:tr>
        <w:tc>
          <w:tcPr>
            <w:tcW w:type="dxa" w:w="288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DiskCAD-Repair</w:t>
            </w:r>
          </w:p>
        </w:tc>
        <w:tc>
          <w:tcPr>
            <w:tcW w:type="dxa" w:w="164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30 720</w:t>
            </w:r>
          </w:p>
        </w:tc>
        <w:tc>
          <w:tcPr>
            <w:tcW w:type="dxa" w:w="4535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根据错误日志定位并修复Disk-G-CAD</w:t>
            </w:r>
          </w:p>
        </w:tc>
      </w:tr>
      <w:tr>
        <w:tc>
          <w:tcPr>
            <w:tcW w:type="dxa" w:w="288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NL2CAD-MCP</w:t>
            </w:r>
          </w:p>
        </w:tc>
        <w:tc>
          <w:tcPr>
            <w:tcW w:type="dxa" w:w="164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12 480</w:t>
            </w:r>
          </w:p>
        </w:tc>
        <w:tc>
          <w:tcPr>
            <w:tcW w:type="dxa" w:w="4535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生成MCP工具选择、调用顺序和参数</w:t>
            </w:r>
          </w:p>
        </w:tc>
      </w:tr>
      <w:tr>
        <w:tc>
          <w:tcPr>
            <w:tcW w:type="dxa" w:w="288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合计</w:t>
            </w:r>
          </w:p>
        </w:tc>
        <w:tc>
          <w:tcPr>
            <w:tcW w:type="dxa" w:w="164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217 920</w:t>
            </w:r>
          </w:p>
        </w:tc>
        <w:tc>
          <w:tcPr>
            <w:tcW w:type="dxa" w:w="4535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-</w:t>
            </w:r>
          </w:p>
        </w:tc>
      </w:tr>
    </w:tbl>
    <w:p>
      <w:pPr>
        <w:pStyle w:val="BodyText"/>
      </w:pPr>
      <w:r>
        <w:rPr>
          <w:rFonts w:ascii="Times New Roman" w:hAnsi="Times New Roman" w:eastAsia="宋体" w:cs="Times New Roman"/>
          <w:sz w:val="21"/>
        </w:rPr>
        <w:t xml:space="preserve">49 920个有效参数化模型中，63.5%包含枞树形榫槽。每个生成样本均包含固定格式的Structured Engineering Rationale（SER），字段包括主体区域识别、参数归一化、特征分解、榫槽轮廓构造、依赖组织和约束检查。SER字段可由规则、参考中间表示或CAD执行结果复核，不包含自由形式推理文本。</w:t>
      </w:r>
    </w:p>
    <w:bookmarkEnd w:id="23"/>
    <w:bookmarkEnd w:id="24"/>
    <w:bookmarkStart w:id="27" w:name="s2-feature-graphdisk-g-cad与compiler细节"/>
    <w:p>
      <w:pPr>
        <w:pStyle w:val="Heading1"/>
        <w:keepNext/>
        <w:keepLines/>
        <w:ind w:firstLine="0"/>
        <w:jc w:val="left"/>
      </w:pPr>
      <w:r>
        <w:rPr>
          <w:rFonts w:ascii="Times New Roman" w:hAnsi="Times New Roman" w:eastAsia="黑体" w:cs="Times New Roman"/>
          <w:b/>
          <w:sz w:val="28"/>
        </w:rPr>
        <w:t xml:space="preserve">S2 Feature Graph、Disk-G-CAD与Compiler细节</w:t>
      </w:r>
    </w:p>
    <w:bookmarkStart w:id="25" w:name="s2.1-主要操作注册表"/>
    <w:p>
      <w:pPr>
        <w:pStyle w:val="Heading2"/>
        <w:keepNext/>
        <w:keepLines/>
        <w:ind w:firstLine="0"/>
        <w:jc w:val="left"/>
      </w:pPr>
      <w:r>
        <w:rPr>
          <w:rFonts w:ascii="Times New Roman" w:hAnsi="Times New Roman" w:eastAsia="黑体" w:cs="Times New Roman"/>
          <w:b/>
          <w:sz w:val="24"/>
        </w:rPr>
        <w:t xml:space="preserve">S2.1 主要操作注册表</w:t>
      </w:r>
    </w:p>
    <w:p>
      <w:pPr>
        <w:pStyle w:val="Caption"/>
        <w:keepNext/>
        <w:spacing w:line="240" w:lineRule="auto" w:before="60" w:after="100"/>
        <w:ind w:firstLine="0"/>
        <w:jc w:val="center"/>
      </w:pPr>
      <w:r>
        <w:rPr>
          <w:rFonts w:ascii="Times New Roman" w:hAnsi="Times New Roman" w:eastAsia="宋体" w:cs="Times New Roman"/>
          <w:b/>
          <w:bCs/>
          <w:sz w:val="18"/>
        </w:rPr>
        <w:t xml:space="preserve">表S4 主要参数化建模操作</w:t>
      </w:r>
    </w:p>
    <w:tbl>
      <w:tblPr>
        <w:tblStyle w:val="TableGrid"/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168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操作类别</w:t>
            </w:r>
          </w:p>
        </w:tc>
        <w:tc>
          <w:tcPr>
            <w:tcW w:type="dxa" w:w="369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代表操作</w:t>
            </w:r>
          </w:p>
        </w:tc>
        <w:tc>
          <w:tcPr>
            <w:tcW w:type="dxa" w:w="369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主要功能</w:t>
            </w:r>
          </w:p>
        </w:tc>
      </w:tr>
      <w:tr>
        <w:tc>
          <w:tcPr>
            <w:tcW w:type="dxa" w:w="168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主体构造</w:t>
            </w:r>
          </w:p>
        </w:tc>
        <w:tc>
          <w:tcPr>
            <w:tcW w:type="dxa" w:w="369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revolve_profile</w:t>
            </w:r>
          </w:p>
        </w:tc>
        <w:tc>
          <w:tcPr>
            <w:tcW w:type="dxa" w:w="369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根据子午轮廓生成轮毂-腹板-轮缘实体</w:t>
            </w:r>
          </w:p>
        </w:tc>
      </w:tr>
      <w:tr>
        <w:tc>
          <w:tcPr>
            <w:tcW w:type="dxa" w:w="168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孔特征</w:t>
            </w:r>
          </w:p>
        </w:tc>
        <w:tc>
          <w:tcPr>
            <w:tcW w:type="dxa" w:w="369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center_bore, circular_hole_pattern</w:t>
            </w:r>
          </w:p>
        </w:tc>
        <w:tc>
          <w:tcPr>
            <w:tcW w:type="dxa" w:w="369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中心孔和周向孔阵列</w:t>
            </w:r>
          </w:p>
        </w:tc>
      </w:tr>
      <w:tr>
        <w:tc>
          <w:tcPr>
            <w:tcW w:type="dxa" w:w="168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槽特征</w:t>
            </w:r>
          </w:p>
        </w:tc>
        <w:tc>
          <w:tcPr>
            <w:tcW w:type="dxa" w:w="369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annular_groove</w:t>
            </w:r>
          </w:p>
        </w:tc>
        <w:tc>
          <w:tcPr>
            <w:tcW w:type="dxa" w:w="369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单道或多道环槽</w:t>
            </w:r>
          </w:p>
        </w:tc>
      </w:tr>
      <w:tr>
        <w:tc>
          <w:tcPr>
            <w:tcW w:type="dxa" w:w="168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榫槽轮廓</w:t>
            </w:r>
          </w:p>
        </w:tc>
        <w:tc>
          <w:tcPr>
            <w:tcW w:type="dxa" w:w="369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fir_tree_profile</w:t>
            </w:r>
          </w:p>
        </w:tc>
        <w:tc>
          <w:tcPr>
            <w:tcW w:type="dxa" w:w="369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构造双齿、三齿或四齿榫槽二维轮廓</w:t>
            </w:r>
          </w:p>
        </w:tc>
      </w:tr>
      <w:tr>
        <w:tc>
          <w:tcPr>
            <w:tcW w:type="dxa" w:w="168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榫槽工具体</w:t>
            </w:r>
          </w:p>
        </w:tc>
        <w:tc>
          <w:tcPr>
            <w:tcW w:type="dxa" w:w="369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slot_tool_extrusion</w:t>
            </w:r>
          </w:p>
        </w:tc>
        <w:tc>
          <w:tcPr>
            <w:tcW w:type="dxa" w:w="369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沿轴向拉伸单榫槽切割实体</w:t>
            </w:r>
          </w:p>
        </w:tc>
      </w:tr>
      <w:tr>
        <w:tc>
          <w:tcPr>
            <w:tcW w:type="dxa" w:w="168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榫槽阵列</w:t>
            </w:r>
          </w:p>
        </w:tc>
        <w:tc>
          <w:tcPr>
            <w:tcW w:type="dxa" w:w="369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circular_slot_pattern</w:t>
            </w:r>
          </w:p>
        </w:tc>
        <w:tc>
          <w:tcPr>
            <w:tcW w:type="dxa" w:w="369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生成完整周向榫槽阵列</w:t>
            </w:r>
          </w:p>
        </w:tc>
      </w:tr>
      <w:tr>
        <w:tc>
          <w:tcPr>
            <w:tcW w:type="dxa" w:w="168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布尔操作</w:t>
            </w:r>
          </w:p>
        </w:tc>
        <w:tc>
          <w:tcPr>
            <w:tcW w:type="dxa" w:w="369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boolean_cut, boolean_union</w:t>
            </w:r>
          </w:p>
        </w:tc>
        <w:tc>
          <w:tcPr>
            <w:tcW w:type="dxa" w:w="369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实体切除与组合</w:t>
            </w:r>
          </w:p>
        </w:tc>
      </w:tr>
      <w:tr>
        <w:tc>
          <w:tcPr>
            <w:tcW w:type="dxa" w:w="168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局部修饰</w:t>
            </w:r>
          </w:p>
        </w:tc>
        <w:tc>
          <w:tcPr>
            <w:tcW w:type="dxa" w:w="369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fillet, chamfer</w:t>
            </w:r>
          </w:p>
        </w:tc>
        <w:tc>
          <w:tcPr>
            <w:tcW w:type="dxa" w:w="369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圆角和倒角</w:t>
            </w:r>
          </w:p>
        </w:tc>
      </w:tr>
      <w:tr>
        <w:tc>
          <w:tcPr>
            <w:tcW w:type="dxa" w:w="168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文件输出</w:t>
            </w:r>
          </w:p>
        </w:tc>
        <w:tc>
          <w:tcPr>
            <w:tcW w:type="dxa" w:w="369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export_step</w:t>
            </w:r>
          </w:p>
        </w:tc>
        <w:tc>
          <w:tcPr>
            <w:tcW w:type="dxa" w:w="369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输出STEP交换模型</w:t>
            </w:r>
          </w:p>
        </w:tc>
      </w:tr>
    </w:tbl>
    <w:bookmarkEnd w:id="25"/>
    <w:bookmarkStart w:id="26" w:name="s2.2-典型几何约束"/>
    <w:p>
      <w:pPr>
        <w:pStyle w:val="Heading2"/>
        <w:keepNext/>
        <w:keepLines/>
        <w:ind w:firstLine="0"/>
        <w:jc w:val="left"/>
      </w:pPr>
      <w:r>
        <w:rPr>
          <w:rFonts w:ascii="Times New Roman" w:hAnsi="Times New Roman" w:eastAsia="黑体" w:cs="Times New Roman"/>
          <w:b/>
          <w:sz w:val="24"/>
        </w:rPr>
        <w:t xml:space="preserve">S2.2 典型几何约束</w:t>
      </w:r>
    </w:p>
    <w:p>
      <w:pPr>
        <w:pStyle w:val="FirstParagraph"/>
        <w:keepLines/>
        <w:spacing w:before="60" w:after="60"/>
        <w:ind w:firstLine="0"/>
        <w:jc w:val="center"/>
      </w:pPr>
      <w:r>
        <w:t xml:space="preserve">对于周向孔阵列，孔中心分布半径</w:t>
      </w:r>
      <m:oMath>
        <m:sSub>
          <m:e>
            <m:r>
              <m:t>r</m:t>
            </m:r>
          </m:e>
          <m:sub>
            <m:r>
              <m:t>h</m:t>
            </m:r>
          </m:sub>
        </m:sSub>
      </m:oMath>
      <w:r>
        <w:t xml:space="preserve">、孔径</w:t>
      </w:r>
      <m:oMath>
        <m:sSub>
          <m:e>
            <m:r>
              <m:t>d</m:t>
            </m:r>
          </m:e>
          <m:sub>
            <m:r>
              <m:t>h</m:t>
            </m:r>
          </m:sub>
        </m:sSub>
      </m:oMath>
      <w:r>
        <w:t xml:space="preserve">、边界安全裕度</w:t>
      </w:r>
      <m:oMath>
        <m:sSub>
          <m:e>
            <m:r>
              <m:t>c</m:t>
            </m:r>
          </m:e>
          <m:sub>
            <m:r>
              <m:t>b</m:t>
            </m:r>
          </m:sub>
        </m:sSub>
      </m:oMath>
      <w:r>
        <w:t xml:space="preserve">和有效边界半径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满足</w:t>
      </w:r>
    </w:p>
    <w:p>
      <w:pPr>
        <w:pStyle w:val="BodyText"/>
        <w:keepLines/>
        <w:spacing w:before="60" w:after="6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h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r</m:t>
              </m:r>
            </m:e>
            <m:sub>
              <m:r>
                <m:t>b</m:t>
              </m:r>
            </m:sub>
          </m:sSub>
        </m:oMath>
      </m:oMathPara>
    </w:p>
    <w:p>
      <w:pPr>
        <w:pStyle w:val="FirstParagraph"/>
        <w:keepLines/>
        <w:spacing w:before="60" w:after="60"/>
        <w:ind w:firstLine="0"/>
        <w:jc w:val="center"/>
      </w:pPr>
      <w:r>
        <w:t xml:space="preserve">对于数量为</w:t>
      </w:r>
      <m:oMath>
        <m:sSub>
          <m:e>
            <m:r>
              <m:t>N</m:t>
            </m:r>
          </m:e>
          <m:sub>
            <m:r>
              <m:t>s</m:t>
            </m:r>
          </m:sub>
        </m:sSub>
      </m:oMath>
      <w:r>
        <w:t xml:space="preserve">、参考半径为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的枞树形榫槽阵列，周向节距为</w:t>
      </w:r>
    </w:p>
    <w:p>
      <w:pPr>
        <w:pStyle w:val="BodyText"/>
        <w:keepLines/>
        <w:spacing w:before="60" w:after="6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  <m:sSub>
                <m:e>
                  <m:r>
                    <m:t>r</m:t>
                  </m:r>
                </m:e>
                <m:sub>
                  <m:r>
                    <m:t>s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</m:den>
          </m:f>
        </m:oMath>
      </m:oMathPara>
    </w:p>
    <w:p>
      <w:pPr>
        <w:pStyle w:val="FirstParagraph"/>
        <w:keepLines/>
        <w:spacing w:before="60" w:after="60"/>
        <w:ind w:firstLine="0"/>
        <w:jc w:val="center"/>
      </w:pPr>
      <w:r>
        <w:t xml:space="preserve">若单槽最大切向宽度为</w:t>
      </w:r>
      <m:oMath>
        <m:sSub>
          <m:e>
            <m:r>
              <m:t>w</m:t>
            </m:r>
          </m:e>
          <m:sub>
            <m:r>
              <m:t>s</m:t>
            </m:r>
          </m:sub>
        </m:sSub>
      </m:oMath>
      <w:r>
        <w:t xml:space="preserve">、两侧最小剩余材料要求为</w:t>
      </w:r>
      <m:oMath>
        <m:sSub>
          <m:e>
            <m:r>
              <m:t>c</m:t>
            </m:r>
          </m:e>
          <m:sub>
            <m:r>
              <m:t>s</m:t>
            </m:r>
          </m:sub>
        </m:sSub>
      </m:oMath>
      <w:r>
        <w:t xml:space="preserve">，则</w:t>
      </w:r>
    </w:p>
    <w:p>
      <w:pPr>
        <w:pStyle w:val="BodyText"/>
        <w:keepLines/>
        <w:spacing w:before="60" w:after="6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t>c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p</m:t>
              </m:r>
            </m:e>
            <m:sub>
              <m:r>
                <m:t>s</m:t>
              </m:r>
            </m:sub>
          </m:sSub>
        </m:oMath>
      </m:oMathPara>
    </w:p>
    <w:p>
      <w:pPr>
        <w:pStyle w:val="FirstParagraph"/>
        <w:keepLines/>
        <w:spacing w:before="60" w:after="60"/>
        <w:ind w:firstLine="0"/>
        <w:jc w:val="center"/>
      </w:pPr>
      <w:r>
        <w:t xml:space="preserve">若榫槽径向总深度为</w:t>
      </w:r>
      <m:oMath>
        <m:sSub>
          <m:e>
            <m:r>
              <m:t>h</m:t>
            </m:r>
          </m:e>
          <m:sub>
            <m:r>
              <m:t>s</m:t>
            </m:r>
          </m:sub>
        </m:sSub>
      </m:oMath>
      <w:r>
        <w:t xml:space="preserve">、轮缘可用径向厚度为</w:t>
      </w:r>
      <m:oMath>
        <m:sSub>
          <m:e>
            <m:r>
              <m:t>t</m:t>
            </m:r>
          </m:e>
          <m:sub>
            <m:r>
              <m:t>r</m:t>
            </m:r>
          </m:sub>
        </m:sSub>
      </m:oMath>
      <w:r>
        <w:t xml:space="preserve">、槽底最小剩余材料为</w:t>
      </w:r>
      <m:oMath>
        <m:sSub>
          <m:e>
            <m:r>
              <m:t>c</m:t>
            </m:r>
          </m:e>
          <m:sub>
            <m:r>
              <m:t>r</m:t>
            </m:r>
          </m:sub>
        </m:sSub>
      </m:oMath>
      <w:r>
        <w:t xml:space="preserve">，则</w:t>
      </w:r>
    </w:p>
    <w:p>
      <w:pPr>
        <w:pStyle w:val="BodyText"/>
        <w:keepLines/>
        <w:spacing w:before="60" w:after="6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t</m:t>
              </m:r>
            </m:e>
            <m:sub>
              <m:r>
                <m:t>r</m:t>
              </m:r>
            </m:sub>
          </m:sSub>
        </m:oMath>
      </m:oMathPara>
    </w:p>
    <w:p>
      <w:pPr>
        <w:pStyle w:val="FirstParagraph"/>
        <w:keepLines/>
        <w:spacing w:before="60" w:after="60"/>
        <w:ind w:firstLine="0"/>
        <w:jc w:val="center"/>
      </w:pPr>
      <w:r>
        <w:t xml:space="preserve">二维榫槽轮廓还需满足闭合、无自交、齿面与圆弧连接连续、齿根圆角可构造，以及周向阵列后相邻工具体不发生非预期相交。参数集合</w:t>
      </w:r>
      <m:oMath>
        <m:r>
          <m:t>Δ</m:t>
        </m:r>
        <m:r>
          <m:t>P</m:t>
        </m:r>
      </m:oMath>
      <w:r>
        <w:t xml:space="preserve">修改后，仅重建直接引用这些参数的节点及其后继节点：</w:t>
      </w:r>
    </w:p>
    <w:p>
      <w:pPr>
        <w:pStyle w:val="BodyText"/>
        <w:keepLines/>
        <w:spacing w:before="60" w:after="6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r</m:t>
              </m:r>
              <m:r>
                <m:t>e</m:t>
              </m:r>
              <m:r>
                <m:t>g</m:t>
              </m:r>
              <m:r>
                <m:t>e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Δ</m:t>
              </m:r>
              <m:r>
                <m:t>P</m:t>
              </m:r>
            </m:sub>
          </m:sSub>
          <m:r>
            <m:rPr>
              <m:sty m:val="p"/>
            </m:rPr>
            <m:t>∪</m:t>
          </m:r>
          <m:r>
            <m:t>D</m:t>
          </m:r>
          <m:r>
            <m:t>e</m:t>
          </m:r>
          <m:r>
            <m:t>s</m:t>
          </m:r>
          <m:r>
            <m:t>c</m:t>
          </m:r>
          <m:r>
            <m:t>e</m:t>
          </m:r>
          <m:r>
            <m:t>n</m:t>
          </m:r>
          <m:r>
            <m:t>d</m:t>
          </m:r>
          <m:r>
            <m:t>a</m:t>
          </m:r>
          <m:r>
            <m:t>n</m:t>
          </m:r>
          <m:r>
            <m:t>t</m:t>
          </m:r>
          <m:r>
            <m:t>s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Δ</m:t>
                  </m:r>
                  <m:r>
                    <m:t>P</m:t>
                  </m:r>
                </m:sub>
              </m:sSub>
            </m:e>
          </m:d>
        </m:oMath>
      </m:oMathPara>
    </w:p>
    <w:bookmarkEnd w:id="26"/>
    <w:bookmarkEnd w:id="27"/>
    <w:bookmarkStart w:id="33" w:name="s3-多智能体与diskcad-mcp"/>
    <w:p>
      <w:pPr>
        <w:pStyle w:val="Heading1"/>
        <w:keepNext/>
        <w:keepLines/>
        <w:ind w:firstLine="0"/>
        <w:jc w:val="left"/>
      </w:pPr>
      <w:r>
        <w:rPr>
          <w:rFonts w:ascii="Times New Roman" w:hAnsi="Times New Roman" w:eastAsia="黑体" w:cs="Times New Roman"/>
          <w:b/>
          <w:sz w:val="28"/>
        </w:rPr>
        <w:t xml:space="preserve">S3 多智能体与DiskCAD-MCP</w:t>
      </w:r>
    </w:p>
    <w:bookmarkStart w:id="28" w:name="s3.1-智能体角色"/>
    <w:p>
      <w:pPr>
        <w:pStyle w:val="Heading2"/>
        <w:keepNext/>
        <w:keepLines/>
        <w:ind w:firstLine="0"/>
        <w:jc w:val="left"/>
      </w:pPr>
      <w:r>
        <w:rPr>
          <w:rFonts w:ascii="Times New Roman" w:hAnsi="Times New Roman" w:eastAsia="黑体" w:cs="Times New Roman"/>
          <w:b/>
          <w:sz w:val="24"/>
        </w:rPr>
        <w:t xml:space="preserve">S3.1 智能体角色</w:t>
      </w:r>
    </w:p>
    <w:p>
      <w:pPr>
        <w:pStyle w:val="Caption"/>
        <w:keepNext/>
        <w:spacing w:line="240" w:lineRule="auto" w:before="60" w:after="100"/>
        <w:ind w:firstLine="0"/>
        <w:jc w:val="center"/>
      </w:pPr>
      <w:r>
        <w:rPr>
          <w:rFonts w:ascii="Times New Roman" w:hAnsi="Times New Roman" w:eastAsia="宋体" w:cs="Times New Roman"/>
          <w:b/>
          <w:bCs/>
          <w:sz w:val="18"/>
        </w:rPr>
        <w:t xml:space="preserve">表S5 多智能体角色与职责</w:t>
      </w:r>
    </w:p>
    <w:tbl>
      <w:tblPr>
        <w:tblStyle w:val="TableGrid"/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49"/>
        <w:gridCol w:w="4649"/>
      </w:tblGrid>
      <w:tr>
        <w:trPr>
          <w:tblHeader w:val="true"/>
        </w:trPr>
        <w:tc>
          <w:tcPr>
            <w:tcW w:type="dxa" w:w="36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智能体</w:t>
            </w:r>
          </w:p>
        </w:tc>
        <w:tc>
          <w:tcPr>
            <w:tcW w:type="dxa" w:w="5393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主要职责</w:t>
            </w:r>
          </w:p>
        </w:tc>
      </w:tr>
      <w:tr>
        <w:tc>
          <w:tcPr>
            <w:tcW w:type="dxa" w:w="36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Pre-checker</w:t>
            </w:r>
          </w:p>
        </w:tc>
        <w:tc>
          <w:tcPr>
            <w:tcW w:type="dxa" w:w="5393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术语、单位、参数完整性和硬约束冲突检查</w:t>
            </w:r>
          </w:p>
        </w:tc>
      </w:tr>
      <w:tr>
        <w:tc>
          <w:tcPr>
            <w:tcW w:type="dxa" w:w="36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Generator</w:t>
            </w:r>
          </w:p>
        </w:tc>
        <w:tc>
          <w:tcPr>
            <w:tcW w:type="dxa" w:w="5393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调用AeroDisk-LLM生成Feature Graph和Disk-G-CAD</w:t>
            </w:r>
          </w:p>
        </w:tc>
      </w:tr>
      <w:tr>
        <w:tc>
          <w:tcPr>
            <w:tcW w:type="dxa" w:w="36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Runner</w:t>
            </w:r>
          </w:p>
        </w:tc>
        <w:tc>
          <w:tcPr>
            <w:tcW w:type="dxa" w:w="5393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静态校验、Compiler执行、CAD运行和STEP导出</w:t>
            </w:r>
          </w:p>
        </w:tc>
      </w:tr>
      <w:tr>
        <w:tc>
          <w:tcPr>
            <w:tcW w:type="dxa" w:w="36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Corrector</w:t>
            </w:r>
          </w:p>
        </w:tc>
        <w:tc>
          <w:tcPr>
            <w:tcW w:type="dxa" w:w="5393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解释错误证据并实施规则或模型辅助修复</w:t>
            </w:r>
          </w:p>
        </w:tc>
      </w:tr>
      <w:tr>
        <w:tc>
          <w:tcPr>
            <w:tcW w:type="dxa" w:w="36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Post-processing</w:t>
            </w:r>
          </w:p>
        </w:tc>
        <w:tc>
          <w:tcPr>
            <w:tcW w:type="dxa" w:w="5393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通过MCP调用专业CAD质量检查工具</w:t>
            </w:r>
          </w:p>
        </w:tc>
      </w:tr>
    </w:tbl>
    <w:p>
      <w:pPr>
        <w:pStyle w:val="BodyText"/>
        <w:keepLines/>
        <w:spacing w:before="60" w:after="60"/>
        <w:ind w:firstLine="0"/>
        <w:jc w:val="center"/>
      </w:pPr>
      <w:r>
        <w:t xml:space="preserve">第</w:t>
      </w:r>
      <m:oMath>
        <m:r>
          <m:t>t</m:t>
        </m:r>
      </m:oMath>
      <w:r>
        <w:t xml:space="preserve">轮生成文档记为</w:t>
      </w:r>
      <m:oMath>
        <m:sSub>
          <m:e>
            <m:r>
              <m:t>D</m:t>
            </m:r>
          </m:e>
          <m:sub>
            <m:r>
              <m:t>t</m:t>
            </m:r>
          </m:sub>
        </m:sSub>
      </m:oMath>
      <w:r>
        <w:t xml:space="preserve">，静态校验结果为</w:t>
      </w:r>
    </w:p>
    <w:p>
      <w:pPr>
        <w:pStyle w:val="BodyText"/>
        <w:keepLines/>
        <w:spacing w:before="60" w:after="6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V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D</m:t>
                  </m:r>
                </m:e>
                <m:sub>
                  <m:r>
                    <m:t>t</m:t>
                  </m:r>
                </m:sub>
              </m:sSub>
            </m:e>
          </m:d>
        </m:oMath>
      </m:oMathPara>
    </w:p>
    <w:p>
      <w:pPr>
        <w:pStyle w:val="FirstParagraph"/>
        <w:keepLines/>
        <w:spacing w:before="60" w:after="60"/>
        <w:ind w:firstLine="0"/>
        <w:jc w:val="center"/>
      </w:pPr>
      <w:r>
        <w:t xml:space="preserve">当</w:t>
      </w:r>
      <m:oMath>
        <m:sSub>
          <m:e>
            <m:r>
              <m:t>E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⌀</m:t>
        </m:r>
      </m:oMath>
      <w:r>
        <w:t xml:space="preserve">时，Compiler生成CAD模型</w:t>
      </w:r>
    </w:p>
    <w:p>
      <w:pPr>
        <w:pStyle w:val="BodyText"/>
        <w:keepLines/>
        <w:spacing w:before="60" w:after="6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D</m:t>
                  </m:r>
                </m:e>
                <m:sub>
                  <m:r>
                    <m:t>t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rFonts w:ascii="Times New Roman" w:hAnsi="Times New Roman" w:eastAsia="宋体" w:cs="Times New Roman"/>
          <w:sz w:val="21"/>
        </w:rPr>
        <w:t xml:space="preserve">若执行失败，后端日志映射为结构化Repair Ticket：</w:t>
      </w:r>
    </w:p>
    <w:p>
      <w:pPr>
        <w:pStyle w:val="BodyText"/>
        <w:keepLines/>
        <w:spacing w:before="60" w:after="60"/>
        <w:ind w:firstLine="0"/>
        <w:jc w:val="center"/>
      </w:pPr>
      <m:oMathPara>
        <m:oMathParaPr>
          <m:jc m:val="center"/>
        </m:oMathParaPr>
        <m:oMath>
          <m:sSubSup>
            <m:e>
              <m:r>
                <m:t>E</m:t>
              </m:r>
            </m:e>
            <m:sub>
              <m:r>
                <m:t>t</m:t>
              </m:r>
            </m:sub>
            <m:sup>
              <m:r>
                <m:t>r</m:t>
              </m:r>
            </m:sup>
          </m:sSubSup>
          <m:r>
            <m:rPr>
              <m:sty m:val="p"/>
            </m:rPr>
            <m:t>=</m:t>
          </m:r>
          <m:r>
            <m:t>M</m:t>
          </m:r>
          <m:r>
            <m:t>a</m:t>
          </m:r>
          <m:r>
            <m:t>p</m:t>
          </m:r>
          <m:r>
            <m:t>E</m:t>
          </m:r>
          <m:r>
            <m:t>r</m:t>
          </m:r>
          <m:r>
            <m:t>r</m:t>
          </m:r>
          <m:r>
            <m:t>o</m:t>
          </m:r>
          <m:r>
            <m:t>r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L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t</m:t>
                  </m:r>
                </m:sub>
              </m:sSub>
            </m:e>
          </m:d>
        </m:oMath>
      </m:oMathPara>
    </w:p>
    <w:p>
      <w:pPr>
        <w:pStyle w:val="FirstParagraph"/>
        <w:keepLines/>
        <w:spacing w:before="60" w:after="60"/>
        <w:ind w:firstLine="0"/>
        <w:jc w:val="center"/>
      </w:pPr>
      <w:r>
        <w:t xml:space="preserve">corrector在保持硬约束</w:t>
      </w:r>
      <m:oMath>
        <m:sSup>
          <m:e>
            <m:r>
              <m:t>C</m:t>
            </m:r>
          </m:e>
          <m:sup>
            <m:r>
              <m:t>h</m:t>
            </m:r>
          </m:sup>
        </m:sSup>
      </m:oMath>
      <w:r>
        <w:t xml:space="preserve">不变的条件下生成修复文档：</w:t>
      </w:r>
    </w:p>
    <w:p>
      <w:pPr>
        <w:pStyle w:val="BodyText"/>
        <w:keepLines/>
        <w:spacing w:before="60" w:after="6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R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D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E</m:t>
                  </m:r>
                </m:e>
                <m:sub>
                  <m:r>
                    <m:t>t</m:t>
                  </m:r>
                </m:sub>
                <m:sup>
                  <m:r>
                    <m:t>r</m:t>
                  </m:r>
                </m:sup>
              </m:sSubSup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t>h</m:t>
                  </m:r>
                </m:sup>
              </m:sSup>
            </m:e>
          </m:d>
        </m:oMath>
      </m:oMathPara>
    </w:p>
    <w:bookmarkEnd w:id="28"/>
    <w:bookmarkStart w:id="32" w:name="s3.2-mcp工具"/>
    <w:p>
      <w:pPr>
        <w:pStyle w:val="Heading2"/>
        <w:keepNext/>
        <w:keepLines/>
        <w:ind w:firstLine="0"/>
        <w:jc w:val="left"/>
      </w:pPr>
      <w:r>
        <w:rPr>
          <w:rFonts w:ascii="Times New Roman" w:hAnsi="Times New Roman" w:eastAsia="黑体" w:cs="Times New Roman"/>
          <w:b/>
          <w:sz w:val="24"/>
        </w:rPr>
        <w:t xml:space="preserve">S3.2 MCP工具</w:t>
      </w:r>
    </w:p>
    <w:p>
      <w:pPr>
        <w:pStyle w:val="Caption"/>
        <w:keepNext/>
        <w:spacing w:line="240" w:lineRule="auto" w:before="60" w:after="100"/>
        <w:ind w:firstLine="0"/>
        <w:jc w:val="center"/>
      </w:pPr>
      <w:r>
        <w:rPr>
          <w:rFonts w:ascii="Times New Roman" w:hAnsi="Times New Roman" w:eastAsia="宋体" w:cs="Times New Roman"/>
          <w:b/>
          <w:bCs/>
          <w:sz w:val="18"/>
        </w:rPr>
        <w:t xml:space="preserve">表S6 DiskCAD-MCP主要工具</w:t>
      </w:r>
    </w:p>
    <w:tbl>
      <w:tblPr>
        <w:tblStyle w:val="TableGrid"/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49"/>
        <w:gridCol w:w="4649"/>
      </w:tblGrid>
      <w:tr>
        <w:trPr>
          <w:tblHeader w:val="true"/>
        </w:trPr>
        <w:tc>
          <w:tcPr>
            <w:tcW w:type="dxa" w:w="241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工具类别</w:t>
            </w:r>
          </w:p>
        </w:tc>
        <w:tc>
          <w:tcPr>
            <w:tcW w:type="dxa" w:w="665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主要功能</w:t>
            </w:r>
          </w:p>
        </w:tc>
      </w:tr>
      <w:tr>
        <w:tc>
          <w:tcPr>
            <w:tcW w:type="dxa" w:w="241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实体检查</w:t>
            </w:r>
          </w:p>
        </w:tc>
        <w:tc>
          <w:tcPr>
            <w:tcW w:type="dxa" w:w="665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实体封闭性、退化边和无效曲面检查</w:t>
            </w:r>
          </w:p>
        </w:tc>
      </w:tr>
      <w:tr>
        <w:tc>
          <w:tcPr>
            <w:tcW w:type="dxa" w:w="241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尺寸测量</w:t>
            </w:r>
          </w:p>
        </w:tc>
        <w:tc>
          <w:tcPr>
            <w:tcW w:type="dxa" w:w="665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外径、内径、厚度、孔径、槽宽和槽深测量</w:t>
            </w:r>
          </w:p>
        </w:tc>
      </w:tr>
      <w:tr>
        <w:tc>
          <w:tcPr>
            <w:tcW w:type="dxa" w:w="241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榫槽检查</w:t>
            </w:r>
          </w:p>
        </w:tc>
        <w:tc>
          <w:tcPr>
            <w:tcW w:type="dxa" w:w="665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齿数、齿面角、槽深、圆角及周向节距检查</w:t>
            </w:r>
          </w:p>
        </w:tc>
      </w:tr>
      <w:tr>
        <w:tc>
          <w:tcPr>
            <w:tcW w:type="dxa" w:w="241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几何约束</w:t>
            </w:r>
          </w:p>
        </w:tc>
        <w:tc>
          <w:tcPr>
            <w:tcW w:type="dxa" w:w="665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孔槽边界裕度和相邻特征最小距离检查</w:t>
            </w:r>
          </w:p>
        </w:tc>
      </w:tr>
      <w:tr>
        <w:tc>
          <w:tcPr>
            <w:tcW w:type="dxa" w:w="241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参数再生</w:t>
            </w:r>
          </w:p>
        </w:tc>
        <w:tc>
          <w:tcPr>
            <w:tcW w:type="dxa" w:w="665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单参数和多参数修改后的模型再生</w:t>
            </w:r>
          </w:p>
        </w:tc>
      </w:tr>
      <w:tr>
        <w:tc>
          <w:tcPr>
            <w:tcW w:type="dxa" w:w="241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STEP检查</w:t>
            </w:r>
          </w:p>
        </w:tc>
        <w:tc>
          <w:tcPr>
            <w:tcW w:type="dxa" w:w="665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STEP导出、重新导入和几何一致性比较</w:t>
            </w:r>
          </w:p>
        </w:tc>
      </w:tr>
      <w:tr>
        <w:tc>
          <w:tcPr>
            <w:tcW w:type="dxa" w:w="241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可视化</w:t>
            </w:r>
          </w:p>
        </w:tc>
        <w:tc>
          <w:tcPr>
            <w:tcW w:type="dxa" w:w="665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标准视图、剖视图和局部放大图生成</w:t>
            </w:r>
          </w:p>
        </w:tc>
      </w:tr>
      <w:tr>
        <w:tc>
          <w:tcPr>
            <w:tcW w:type="dxa" w:w="241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质量报告</w:t>
            </w:r>
          </w:p>
        </w:tc>
        <w:tc>
          <w:tcPr>
            <w:tcW w:type="dxa" w:w="665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汇总全部检查结果及错误证据</w:t>
            </w:r>
          </w:p>
        </w:tc>
      </w:tr>
    </w:tbl>
    <w:p>
      <w:pPr>
        <w:pStyle w:val="CaptionedFigure"/>
        <w:keepNext/>
        <w:spacing w:before="120" w:after="0"/>
        <w:ind w:firstLine="0"/>
        <w:jc w:val="center"/>
      </w:pPr>
      <w:r>
        <w:drawing>
          <wp:inline>
            <wp:extent cx="5651999" cy="3753177"/>
            <wp:effectExtent b="0" l="0" r="0" t="0"/>
            <wp:docPr descr="图S1 DiskCAD-MCP客户端-服务器架构与模型质量反馈" title="" id="30" name="Picture"/>
            <a:graphic>
              <a:graphicData uri="http://schemas.openxmlformats.org/drawingml/2006/picture">
                <pic:pic>
                  <pic:nvPicPr>
                    <pic:cNvPr descr="/mnt/data/figures_clean/figure5_clean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999" cy="3753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00"/>
        <w:ind w:firstLine="0"/>
        <w:jc w:val="center"/>
      </w:pPr>
      <w:r>
        <w:rPr>
          <w:rFonts w:ascii="Times New Roman" w:hAnsi="Times New Roman" w:eastAsia="宋体" w:cs="Times New Roman"/>
          <w:b w:val="0"/>
          <w:sz w:val="18"/>
        </w:rPr>
        <w:t xml:space="preserve">图S1 DiskCAD-MCP客户端-服务器架构与模型质量反馈</w:t>
      </w:r>
    </w:p>
    <w:bookmarkEnd w:id="32"/>
    <w:bookmarkEnd w:id="33"/>
    <w:bookmarkStart w:id="40" w:name="s4-diskcad-bench与对比设置"/>
    <w:p>
      <w:pPr>
        <w:pStyle w:val="Heading1"/>
        <w:keepNext/>
        <w:keepLines/>
        <w:ind w:firstLine="0"/>
        <w:jc w:val="left"/>
      </w:pPr>
      <w:r>
        <w:rPr>
          <w:rFonts w:ascii="Times New Roman" w:hAnsi="Times New Roman" w:eastAsia="黑体" w:cs="Times New Roman"/>
          <w:b/>
          <w:sz w:val="28"/>
        </w:rPr>
        <w:t xml:space="preserve">S4 DiskCAD-Bench与对比设置</w:t>
      </w:r>
    </w:p>
    <w:bookmarkStart w:id="34" w:name="s4.1-主任务组成"/>
    <w:p>
      <w:pPr>
        <w:pStyle w:val="Heading2"/>
        <w:keepNext/>
        <w:keepLines/>
        <w:ind w:firstLine="0"/>
        <w:jc w:val="left"/>
      </w:pPr>
      <w:r>
        <w:rPr>
          <w:rFonts w:ascii="Times New Roman" w:hAnsi="Times New Roman" w:eastAsia="黑体" w:cs="Times New Roman"/>
          <w:b/>
          <w:sz w:val="24"/>
        </w:rPr>
        <w:t xml:space="preserve">S4.1 主任务组成</w:t>
      </w:r>
    </w:p>
    <w:p>
      <w:pPr>
        <w:pStyle w:val="Caption"/>
        <w:keepNext/>
        <w:spacing w:line="240" w:lineRule="auto" w:before="60" w:after="100"/>
        <w:ind w:firstLine="0"/>
        <w:jc w:val="center"/>
      </w:pPr>
      <w:r>
        <w:rPr>
          <w:rFonts w:ascii="Times New Roman" w:hAnsi="Times New Roman" w:eastAsia="宋体" w:cs="Times New Roman"/>
          <w:b/>
          <w:bCs/>
          <w:sz w:val="18"/>
        </w:rPr>
        <w:t xml:space="preserve">表S7 DiskCAD-Bench主任务构成</w:t>
      </w:r>
    </w:p>
    <w:tbl>
      <w:tblPr>
        <w:tblStyle w:val="TableGrid"/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125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难度等级</w:t>
            </w:r>
          </w:p>
        </w:tc>
        <w:tc>
          <w:tcPr>
            <w:tcW w:type="dxa" w:w="93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任务数</w:t>
            </w:r>
          </w:p>
        </w:tc>
        <w:tc>
          <w:tcPr>
            <w:tcW w:type="dxa" w:w="344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典型Feature Graph节点数</w:t>
            </w:r>
          </w:p>
        </w:tc>
        <w:tc>
          <w:tcPr>
            <w:tcW w:type="dxa" w:w="344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主要特征与测试目的</w:t>
            </w:r>
          </w:p>
        </w:tc>
      </w:tr>
      <w:tr>
        <w:tc>
          <w:tcPr>
            <w:tcW w:type="dxa" w:w="125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Level 1</w:t>
            </w:r>
          </w:p>
        </w:tc>
        <w:tc>
          <w:tcPr>
            <w:tcW w:type="dxa" w:w="93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8</w:t>
            </w:r>
          </w:p>
        </w:tc>
        <w:tc>
          <w:tcPr>
            <w:tcW w:type="dxa" w:w="344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6-9</w:t>
            </w:r>
          </w:p>
        </w:tc>
        <w:tc>
          <w:tcPr>
            <w:tcW w:type="dxa" w:w="344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轮毂-腹板-轮缘主体、中心孔和简单过渡</w:t>
            </w:r>
          </w:p>
        </w:tc>
      </w:tr>
      <w:tr>
        <w:tc>
          <w:tcPr>
            <w:tcW w:type="dxa" w:w="125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Level 2</w:t>
            </w:r>
          </w:p>
        </w:tc>
        <w:tc>
          <w:tcPr>
            <w:tcW w:type="dxa" w:w="93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10</w:t>
            </w:r>
          </w:p>
        </w:tc>
        <w:tc>
          <w:tcPr>
            <w:tcW w:type="dxa" w:w="344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8-14</w:t>
            </w:r>
          </w:p>
        </w:tc>
        <w:tc>
          <w:tcPr>
            <w:tcW w:type="dxa" w:w="344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周向孔阵列、环槽、局部切除和圆角/倒角</w:t>
            </w:r>
          </w:p>
        </w:tc>
      </w:tr>
      <w:tr>
        <w:tc>
          <w:tcPr>
            <w:tcW w:type="dxa" w:w="125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Level 3</w:t>
            </w:r>
          </w:p>
        </w:tc>
        <w:tc>
          <w:tcPr>
            <w:tcW w:type="dxa" w:w="93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12</w:t>
            </w:r>
          </w:p>
        </w:tc>
        <w:tc>
          <w:tcPr>
            <w:tcW w:type="dxa" w:w="344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12-20</w:t>
            </w:r>
          </w:p>
        </w:tc>
        <w:tc>
          <w:tcPr>
            <w:tcW w:type="dxa" w:w="344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双齿或三齿枞树形榫槽及多特征组合</w:t>
            </w:r>
          </w:p>
        </w:tc>
      </w:tr>
      <w:tr>
        <w:tc>
          <w:tcPr>
            <w:tcW w:type="dxa" w:w="125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Level 4</w:t>
            </w:r>
          </w:p>
        </w:tc>
        <w:tc>
          <w:tcPr>
            <w:tcW w:type="dxa" w:w="93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10</w:t>
            </w:r>
          </w:p>
        </w:tc>
        <w:tc>
          <w:tcPr>
            <w:tcW w:type="dxa" w:w="344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16-24</w:t>
            </w:r>
          </w:p>
        </w:tc>
        <w:tc>
          <w:tcPr>
            <w:tcW w:type="dxa" w:w="344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未见四齿榫槽、复杂轮缘过渡、边界参数和强耦合特征</w:t>
            </w:r>
          </w:p>
        </w:tc>
      </w:tr>
      <w:tr>
        <w:tc>
          <w:tcPr>
            <w:tcW w:type="dxa" w:w="125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合计</w:t>
            </w:r>
          </w:p>
        </w:tc>
        <w:tc>
          <w:tcPr>
            <w:tcW w:type="dxa" w:w="93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40</w:t>
            </w:r>
          </w:p>
        </w:tc>
        <w:tc>
          <w:tcPr>
            <w:tcW w:type="dxa" w:w="344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-</w:t>
            </w:r>
          </w:p>
        </w:tc>
        <w:tc>
          <w:tcPr>
            <w:tcW w:type="dxa" w:w="344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-</w:t>
            </w:r>
          </w:p>
        </w:tc>
      </w:tr>
    </w:tbl>
    <w:p>
      <w:pPr>
        <w:pStyle w:val="BodyText"/>
      </w:pPr>
      <w:r>
        <w:rPr>
          <w:rFonts w:ascii="Times New Roman" w:hAnsi="Times New Roman" w:eastAsia="宋体" w:cs="Times New Roman"/>
          <w:sz w:val="21"/>
        </w:rPr>
        <w:t xml:space="preserve">40项任务中，32项为完整生成，8项为基于已有主体盘的参数化修改。除主任务外，还包括800组参数扰动、320条自然语言鲁棒性指令、120组不可行设计和160项MCP任务。MCP任务由40项单工具测量、80项多工具质量检查、20项工具异常与恢复以及20项新工具发现和零样本调用组成。</w:t>
      </w:r>
    </w:p>
    <w:bookmarkEnd w:id="34"/>
    <w:bookmarkStart w:id="35" w:name="s4.2-领域模型对比"/>
    <w:p>
      <w:pPr>
        <w:pStyle w:val="Heading2"/>
        <w:keepNext/>
        <w:keepLines/>
        <w:ind w:firstLine="0"/>
        <w:jc w:val="left"/>
      </w:pPr>
      <w:r>
        <w:rPr>
          <w:rFonts w:ascii="Times New Roman" w:hAnsi="Times New Roman" w:eastAsia="黑体" w:cs="Times New Roman"/>
          <w:b/>
          <w:sz w:val="24"/>
        </w:rPr>
        <w:t xml:space="preserve">S4.2 领域模型对比</w:t>
      </w:r>
    </w:p>
    <w:p>
      <w:pPr>
        <w:pStyle w:val="Caption"/>
        <w:keepNext/>
        <w:spacing w:line="240" w:lineRule="auto" w:before="60" w:after="100"/>
        <w:ind w:firstLine="0"/>
        <w:jc w:val="center"/>
      </w:pPr>
      <w:r>
        <w:rPr>
          <w:rFonts w:ascii="Times New Roman" w:hAnsi="Times New Roman" w:eastAsia="宋体" w:cs="Times New Roman"/>
          <w:b/>
          <w:bCs/>
          <w:sz w:val="18"/>
        </w:rPr>
        <w:t xml:space="preserve">表S8 领域模型对比设置</w:t>
      </w:r>
    </w:p>
    <w:tbl>
      <w:tblPr>
        <w:tblStyle w:val="TableGrid"/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60"/>
        <w:gridCol w:w="1860"/>
        <w:gridCol w:w="1860"/>
        <w:gridCol w:w="1860"/>
        <w:gridCol w:w="1860"/>
      </w:tblGrid>
      <w:tr>
        <w:trPr>
          <w:tblHeader w:val="true"/>
        </w:trPr>
        <w:tc>
          <w:tcPr>
            <w:tcW w:type="dxa" w:w="265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模型</w:t>
            </w:r>
          </w:p>
        </w:tc>
        <w:tc>
          <w:tcPr>
            <w:tcW w:type="dxa" w:w="111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参数规模</w:t>
            </w:r>
          </w:p>
        </w:tc>
        <w:tc>
          <w:tcPr>
            <w:tcW w:type="dxa" w:w="111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领域微调</w:t>
            </w:r>
          </w:p>
        </w:tc>
        <w:tc>
          <w:tcPr>
            <w:tcW w:type="dxa" w:w="111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外部检索</w:t>
            </w:r>
          </w:p>
        </w:tc>
        <w:tc>
          <w:tcPr>
            <w:tcW w:type="dxa" w:w="307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输出表示</w:t>
            </w:r>
          </w:p>
        </w:tc>
      </w:tr>
      <w:tr>
        <w:tc>
          <w:tcPr>
            <w:tcW w:type="dxa" w:w="265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Base-Coder</w:t>
            </w:r>
          </w:p>
        </w:tc>
        <w:tc>
          <w:tcPr>
            <w:tcW w:type="dxa" w:w="111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32B</w:t>
            </w:r>
          </w:p>
        </w:tc>
        <w:tc>
          <w:tcPr>
            <w:tcW w:type="dxa" w:w="111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否</w:t>
            </w:r>
          </w:p>
        </w:tc>
        <w:tc>
          <w:tcPr>
            <w:tcW w:type="dxa" w:w="111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否</w:t>
            </w:r>
          </w:p>
        </w:tc>
        <w:tc>
          <w:tcPr>
            <w:tcW w:type="dxa" w:w="307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Feature Graph与Disk-G-CAD</w:t>
            </w:r>
          </w:p>
        </w:tc>
      </w:tr>
      <w:tr>
        <w:tc>
          <w:tcPr>
            <w:tcW w:type="dxa" w:w="265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CAD-RAG</w:t>
            </w:r>
          </w:p>
        </w:tc>
        <w:tc>
          <w:tcPr>
            <w:tcW w:type="dxa" w:w="111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32B</w:t>
            </w:r>
          </w:p>
        </w:tc>
        <w:tc>
          <w:tcPr>
            <w:tcW w:type="dxa" w:w="111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否</w:t>
            </w:r>
          </w:p>
        </w:tc>
        <w:tc>
          <w:tcPr>
            <w:tcW w:type="dxa" w:w="111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307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Feature Graph与Disk-G-CAD</w:t>
            </w:r>
          </w:p>
        </w:tc>
      </w:tr>
      <w:tr>
        <w:tc>
          <w:tcPr>
            <w:tcW w:type="dxa" w:w="265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Qwen2.5-72B</w:t>
            </w:r>
          </w:p>
        </w:tc>
        <w:tc>
          <w:tcPr>
            <w:tcW w:type="dxa" w:w="111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72B</w:t>
            </w:r>
          </w:p>
        </w:tc>
        <w:tc>
          <w:tcPr>
            <w:tcW w:type="dxa" w:w="111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否</w:t>
            </w:r>
          </w:p>
        </w:tc>
        <w:tc>
          <w:tcPr>
            <w:tcW w:type="dxa" w:w="111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否</w:t>
            </w:r>
          </w:p>
        </w:tc>
        <w:tc>
          <w:tcPr>
            <w:tcW w:type="dxa" w:w="307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Feature Graph与Disk-G-CAD</w:t>
            </w:r>
          </w:p>
        </w:tc>
      </w:tr>
      <w:tr>
        <w:tc>
          <w:tcPr>
            <w:tcW w:type="dxa" w:w="265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DeepSeek-R1-Distill</w:t>
            </w:r>
          </w:p>
        </w:tc>
        <w:tc>
          <w:tcPr>
            <w:tcW w:type="dxa" w:w="111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32B</w:t>
            </w:r>
          </w:p>
        </w:tc>
        <w:tc>
          <w:tcPr>
            <w:tcW w:type="dxa" w:w="111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否</w:t>
            </w:r>
          </w:p>
        </w:tc>
        <w:tc>
          <w:tcPr>
            <w:tcW w:type="dxa" w:w="111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否</w:t>
            </w:r>
          </w:p>
        </w:tc>
        <w:tc>
          <w:tcPr>
            <w:tcW w:type="dxa" w:w="307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Feature Graph与Disk-G-CAD</w:t>
            </w:r>
          </w:p>
        </w:tc>
      </w:tr>
      <w:tr>
        <w:tc>
          <w:tcPr>
            <w:tcW w:type="dxa" w:w="265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Llama-3.3-70B</w:t>
            </w:r>
          </w:p>
        </w:tc>
        <w:tc>
          <w:tcPr>
            <w:tcW w:type="dxa" w:w="111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70B</w:t>
            </w:r>
          </w:p>
        </w:tc>
        <w:tc>
          <w:tcPr>
            <w:tcW w:type="dxa" w:w="111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否</w:t>
            </w:r>
          </w:p>
        </w:tc>
        <w:tc>
          <w:tcPr>
            <w:tcW w:type="dxa" w:w="111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否</w:t>
            </w:r>
          </w:p>
        </w:tc>
        <w:tc>
          <w:tcPr>
            <w:tcW w:type="dxa" w:w="307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Feature Graph与Disk-G-CAD</w:t>
            </w:r>
          </w:p>
        </w:tc>
      </w:tr>
      <w:tr>
        <w:tc>
          <w:tcPr>
            <w:tcW w:type="dxa" w:w="265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AeroDisk-LLM</w:t>
            </w:r>
          </w:p>
        </w:tc>
        <w:tc>
          <w:tcPr>
            <w:tcW w:type="dxa" w:w="111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32B</w:t>
            </w:r>
          </w:p>
        </w:tc>
        <w:tc>
          <w:tcPr>
            <w:tcW w:type="dxa" w:w="111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是</w:t>
            </w:r>
          </w:p>
        </w:tc>
        <w:tc>
          <w:tcPr>
            <w:tcW w:type="dxa" w:w="111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否</w:t>
            </w:r>
          </w:p>
        </w:tc>
        <w:tc>
          <w:tcPr>
            <w:tcW w:type="dxa" w:w="307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Feature Graph与Disk-G-CAD</w:t>
            </w:r>
          </w:p>
        </w:tc>
      </w:tr>
    </w:tbl>
    <w:p>
      <w:pPr>
        <w:pStyle w:val="BodyText"/>
      </w:pPr>
      <w:r>
        <w:rPr>
          <w:rFonts w:ascii="Times New Roman" w:hAnsi="Times New Roman" w:eastAsia="宋体" w:cs="Times New Roman"/>
          <w:sz w:val="21"/>
        </w:rPr>
        <w:t xml:space="preserve">CAD-RAG采用混合稀疏-稠密检索，从2 400个经验证的Disk-G-CAD示例、416条操作与约束说明和812组典型错误-修复记录中检索前5项内容。</w:t>
      </w:r>
    </w:p>
    <w:bookmarkEnd w:id="35"/>
    <w:bookmarkStart w:id="39" w:name="s4.3-系统架构对比"/>
    <w:p>
      <w:pPr>
        <w:pStyle w:val="Heading2"/>
        <w:keepNext/>
        <w:keepLines/>
        <w:ind w:firstLine="0"/>
        <w:jc w:val="left"/>
      </w:pPr>
      <w:r>
        <w:rPr>
          <w:rFonts w:ascii="Times New Roman" w:hAnsi="Times New Roman" w:eastAsia="黑体" w:cs="Times New Roman"/>
          <w:b/>
          <w:sz w:val="24"/>
        </w:rPr>
        <w:t xml:space="preserve">S4.3 系统架构对比</w:t>
      </w:r>
    </w:p>
    <w:p>
      <w:pPr>
        <w:pStyle w:val="Caption"/>
        <w:keepNext/>
        <w:spacing w:line="240" w:lineRule="auto" w:before="60" w:after="100"/>
        <w:ind w:firstLine="0"/>
        <w:jc w:val="center"/>
      </w:pPr>
      <w:r>
        <w:rPr>
          <w:rFonts w:ascii="Times New Roman" w:hAnsi="Times New Roman" w:eastAsia="宋体" w:cs="Times New Roman"/>
          <w:b/>
          <w:bCs/>
          <w:sz w:val="18"/>
        </w:rPr>
        <w:t xml:space="preserve">表S9 系统架构对比与消融设置</w:t>
      </w:r>
    </w:p>
    <w:tbl>
      <w:tblPr>
        <w:tblStyle w:val="TableGrid"/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28"/>
        <w:gridCol w:w="1328"/>
        <w:gridCol w:w="1328"/>
        <w:gridCol w:w="1328"/>
        <w:gridCol w:w="1328"/>
        <w:gridCol w:w="1328"/>
        <w:gridCol w:w="1328"/>
      </w:tblGrid>
      <w:tr>
        <w:trPr>
          <w:tblHeader w:val="true"/>
        </w:trPr>
        <w:tc>
          <w:tcPr>
            <w:tcW w:type="dxa" w:w="153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方法</w:t>
            </w:r>
          </w:p>
        </w:tc>
        <w:tc>
          <w:tcPr>
            <w:tcW w:type="dxa" w:w="87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领域微调</w:t>
            </w:r>
          </w:p>
        </w:tc>
        <w:tc>
          <w:tcPr>
            <w:tcW w:type="dxa" w:w="240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Feature Graph/Disk-G-CAD</w:t>
            </w:r>
          </w:p>
        </w:tc>
        <w:tc>
          <w:tcPr>
            <w:tcW w:type="dxa" w:w="87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Compiler</w:t>
            </w:r>
          </w:p>
        </w:tc>
        <w:tc>
          <w:tcPr>
            <w:tcW w:type="dxa" w:w="87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多智能体</w:t>
            </w:r>
          </w:p>
        </w:tc>
        <w:tc>
          <w:tcPr>
            <w:tcW w:type="dxa" w:w="131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Corrector</w:t>
            </w:r>
          </w:p>
        </w:tc>
        <w:tc>
          <w:tcPr>
            <w:tcW w:type="dxa" w:w="120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MCP质量反馈</w:t>
            </w:r>
          </w:p>
        </w:tc>
      </w:tr>
      <w:tr>
        <w:tc>
          <w:tcPr>
            <w:tcW w:type="dxa" w:w="153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Direct-Base</w:t>
            </w:r>
          </w:p>
        </w:tc>
        <w:tc>
          <w:tcPr>
            <w:tcW w:type="dxa" w:w="87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否</w:t>
            </w:r>
          </w:p>
        </w:tc>
        <w:tc>
          <w:tcPr>
            <w:tcW w:type="dxa" w:w="240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否</w:t>
            </w:r>
          </w:p>
        </w:tc>
        <w:tc>
          <w:tcPr>
            <w:tcW w:type="dxa" w:w="87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否</w:t>
            </w:r>
          </w:p>
        </w:tc>
        <w:tc>
          <w:tcPr>
            <w:tcW w:type="dxa" w:w="87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否</w:t>
            </w:r>
          </w:p>
        </w:tc>
        <w:tc>
          <w:tcPr>
            <w:tcW w:type="dxa" w:w="131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代码重试</w:t>
            </w:r>
          </w:p>
        </w:tc>
        <w:tc>
          <w:tcPr>
            <w:tcW w:type="dxa" w:w="120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否</w:t>
            </w:r>
          </w:p>
        </w:tc>
      </w:tr>
      <w:tr>
        <w:tc>
          <w:tcPr>
            <w:tcW w:type="dxa" w:w="153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Direct-SFT</w:t>
            </w:r>
          </w:p>
        </w:tc>
        <w:tc>
          <w:tcPr>
            <w:tcW w:type="dxa" w:w="87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是</w:t>
            </w:r>
          </w:p>
        </w:tc>
        <w:tc>
          <w:tcPr>
            <w:tcW w:type="dxa" w:w="240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否</w:t>
            </w:r>
          </w:p>
        </w:tc>
        <w:tc>
          <w:tcPr>
            <w:tcW w:type="dxa" w:w="87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否</w:t>
            </w:r>
          </w:p>
        </w:tc>
        <w:tc>
          <w:tcPr>
            <w:tcW w:type="dxa" w:w="87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否</w:t>
            </w:r>
          </w:p>
        </w:tc>
        <w:tc>
          <w:tcPr>
            <w:tcW w:type="dxa" w:w="131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代码重试</w:t>
            </w:r>
          </w:p>
        </w:tc>
        <w:tc>
          <w:tcPr>
            <w:tcW w:type="dxa" w:w="120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否</w:t>
            </w:r>
          </w:p>
        </w:tc>
      </w:tr>
      <w:tr>
        <w:tc>
          <w:tcPr>
            <w:tcW w:type="dxa" w:w="153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IR-Single</w:t>
            </w:r>
          </w:p>
        </w:tc>
        <w:tc>
          <w:tcPr>
            <w:tcW w:type="dxa" w:w="87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是</w:t>
            </w:r>
          </w:p>
        </w:tc>
        <w:tc>
          <w:tcPr>
            <w:tcW w:type="dxa" w:w="240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是</w:t>
            </w:r>
          </w:p>
        </w:tc>
        <w:tc>
          <w:tcPr>
            <w:tcW w:type="dxa" w:w="87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是</w:t>
            </w:r>
          </w:p>
        </w:tc>
        <w:tc>
          <w:tcPr>
            <w:tcW w:type="dxa" w:w="87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否</w:t>
            </w:r>
          </w:p>
        </w:tc>
        <w:tc>
          <w:tcPr>
            <w:tcW w:type="dxa" w:w="131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单智能体修复</w:t>
            </w:r>
          </w:p>
        </w:tc>
        <w:tc>
          <w:tcPr>
            <w:tcW w:type="dxa" w:w="120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否</w:t>
            </w:r>
          </w:p>
        </w:tc>
      </w:tr>
      <w:tr>
        <w:tc>
          <w:tcPr>
            <w:tcW w:type="dxa" w:w="153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MA-NoCorr</w:t>
            </w:r>
          </w:p>
        </w:tc>
        <w:tc>
          <w:tcPr>
            <w:tcW w:type="dxa" w:w="87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是</w:t>
            </w:r>
          </w:p>
        </w:tc>
        <w:tc>
          <w:tcPr>
            <w:tcW w:type="dxa" w:w="240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是</w:t>
            </w:r>
          </w:p>
        </w:tc>
        <w:tc>
          <w:tcPr>
            <w:tcW w:type="dxa" w:w="87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是</w:t>
            </w:r>
          </w:p>
        </w:tc>
        <w:tc>
          <w:tcPr>
            <w:tcW w:type="dxa" w:w="87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是</w:t>
            </w:r>
          </w:p>
        </w:tc>
        <w:tc>
          <w:tcPr>
            <w:tcW w:type="dxa" w:w="131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否</w:t>
            </w:r>
          </w:p>
        </w:tc>
        <w:tc>
          <w:tcPr>
            <w:tcW w:type="dxa" w:w="120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否</w:t>
            </w:r>
          </w:p>
        </w:tc>
      </w:tr>
      <w:tr>
        <w:tc>
          <w:tcPr>
            <w:tcW w:type="dxa" w:w="153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MA-Corr</w:t>
            </w:r>
          </w:p>
        </w:tc>
        <w:tc>
          <w:tcPr>
            <w:tcW w:type="dxa" w:w="87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是</w:t>
            </w:r>
          </w:p>
        </w:tc>
        <w:tc>
          <w:tcPr>
            <w:tcW w:type="dxa" w:w="240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是</w:t>
            </w:r>
          </w:p>
        </w:tc>
        <w:tc>
          <w:tcPr>
            <w:tcW w:type="dxa" w:w="87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是</w:t>
            </w:r>
          </w:p>
        </w:tc>
        <w:tc>
          <w:tcPr>
            <w:tcW w:type="dxa" w:w="87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是</w:t>
            </w:r>
          </w:p>
        </w:tc>
        <w:tc>
          <w:tcPr>
            <w:tcW w:type="dxa" w:w="131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是</w:t>
            </w:r>
          </w:p>
        </w:tc>
        <w:tc>
          <w:tcPr>
            <w:tcW w:type="dxa" w:w="120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否</w:t>
            </w:r>
          </w:p>
        </w:tc>
      </w:tr>
      <w:tr>
        <w:tc>
          <w:tcPr>
            <w:tcW w:type="dxa" w:w="153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/>
                <w:sz w:val="16"/>
              </w:rPr>
              <w:t>Full Framework</w:t>
            </w:r>
          </w:p>
        </w:tc>
        <w:tc>
          <w:tcPr>
            <w:tcW w:type="dxa" w:w="87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是</w:t>
            </w:r>
          </w:p>
        </w:tc>
        <w:tc>
          <w:tcPr>
            <w:tcW w:type="dxa" w:w="240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是</w:t>
            </w:r>
          </w:p>
        </w:tc>
        <w:tc>
          <w:tcPr>
            <w:tcW w:type="dxa" w:w="87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是</w:t>
            </w:r>
          </w:p>
        </w:tc>
        <w:tc>
          <w:tcPr>
            <w:tcW w:type="dxa" w:w="87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是</w:t>
            </w:r>
          </w:p>
        </w:tc>
        <w:tc>
          <w:tcPr>
            <w:tcW w:type="dxa" w:w="131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是</w:t>
            </w:r>
          </w:p>
        </w:tc>
        <w:tc>
          <w:tcPr>
            <w:tcW w:type="dxa" w:w="120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是</w:t>
            </w:r>
          </w:p>
        </w:tc>
      </w:tr>
    </w:tbl>
    <w:p>
      <w:pPr>
        <w:pStyle w:val="CaptionedFigure"/>
        <w:keepNext/>
        <w:spacing w:before="120" w:after="0"/>
        <w:ind w:firstLine="0"/>
        <w:jc w:val="center"/>
      </w:pPr>
      <w:r>
        <w:drawing>
          <wp:inline>
            <wp:extent cx="5651999" cy="3753177"/>
            <wp:effectExtent b="0" l="0" r="0" t="0"/>
            <wp:docPr descr="图S2 统一实验与评价流程" title="" id="37" name="Picture"/>
            <a:graphic>
              <a:graphicData uri="http://schemas.openxmlformats.org/drawingml/2006/picture">
                <pic:pic>
                  <pic:nvPicPr>
                    <pic:cNvPr descr="/mnt/data/figures_clean/figure7_clean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999" cy="3753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00"/>
        <w:ind w:firstLine="0"/>
        <w:jc w:val="center"/>
      </w:pPr>
      <w:r>
        <w:rPr>
          <w:rFonts w:ascii="Times New Roman" w:hAnsi="Times New Roman" w:eastAsia="宋体" w:cs="Times New Roman"/>
          <w:b w:val="0"/>
          <w:sz w:val="18"/>
        </w:rPr>
        <w:t xml:space="preserve">图S2 统一实验与评价流程</w:t>
      </w:r>
    </w:p>
    <w:bookmarkEnd w:id="39"/>
    <w:bookmarkEnd w:id="40"/>
    <w:bookmarkStart w:id="41" w:name="s5-软件硬件与推理设置"/>
    <w:p>
      <w:pPr>
        <w:pStyle w:val="Heading1"/>
        <w:keepNext/>
        <w:keepLines/>
        <w:ind w:firstLine="0"/>
        <w:jc w:val="left"/>
      </w:pPr>
      <w:r>
        <w:rPr>
          <w:rFonts w:ascii="Times New Roman" w:hAnsi="Times New Roman" w:eastAsia="黑体" w:cs="Times New Roman"/>
          <w:b/>
          <w:sz w:val="28"/>
        </w:rPr>
        <w:t xml:space="preserve">S5 软件、硬件与推理设置</w:t>
      </w:r>
    </w:p>
    <w:p>
      <w:pPr>
        <w:pStyle w:val="FirstParagraph"/>
      </w:pPr>
      <w:r>
        <w:rPr>
          <w:rFonts w:ascii="Times New Roman" w:hAnsi="Times New Roman" w:eastAsia="宋体" w:cs="Times New Roman"/>
          <w:sz w:val="21"/>
        </w:rPr>
        <w:t xml:space="preserve">训练与推理在8张NVIDIA A800 80 GB GPU上完成。计算节点配备两颗Intel Xeon Gold 6430处理器和512 GB内存，操作系统为Ubuntu 22.04。模型推理使用vLLM；CAD侧采用Python 3.11、CadQuery 2.4和OpenCascade 7.7。</w:t>
      </w:r>
    </w:p>
    <w:p>
      <w:pPr>
        <w:pStyle w:val="BodyText"/>
      </w:pPr>
      <w:r>
        <w:rPr>
          <w:rFonts w:ascii="Times New Roman" w:hAnsi="Times New Roman" w:eastAsia="宋体" w:cs="Times New Roman"/>
          <w:sz w:val="21"/>
        </w:rPr>
        <w:t xml:space="preserve">所有方法使用相同输入窗口和最大输出长度。主实验设置为：temperature 0.3，top-p 0.9，最大上下文8192 tokens，单次CAD执行超时900 s，最大自动纠错轮数3，单个端到端任务总超时3600 s。每项任务采用10个随机种子。不同模型使用相同任务指令、Feature Graph定义、Disk-G-CAD schema和错误对象格式，仅按聊天模板进行必要封装。</w:t>
      </w:r>
    </w:p>
    <w:p>
      <w:pPr>
        <w:pStyle w:val="BodyText"/>
      </w:pPr>
      <w:r>
        <w:rPr>
          <w:rFonts w:ascii="Times New Roman" w:hAnsi="Times New Roman" w:eastAsia="宋体" w:cs="Times New Roman"/>
          <w:sz w:val="21"/>
        </w:rPr>
        <w:t xml:space="preserve">所有STEP模型首先由OpenCascade重新导入并执行实体检查。DiskCAD-Bench中的全部参考模型和随机抽取的20%生成模型进一步在商业CAD软件中独立导入，以降低同一几何内核导出-导入造成的系统性偏差。</w:t>
      </w:r>
    </w:p>
    <w:bookmarkEnd w:id="41"/>
    <w:bookmarkStart w:id="47" w:name="s6-评价指标与统计方法"/>
    <w:p>
      <w:pPr>
        <w:pStyle w:val="Heading1"/>
        <w:keepNext/>
        <w:keepLines/>
        <w:ind w:firstLine="0"/>
        <w:jc w:val="left"/>
      </w:pPr>
      <w:r>
        <w:rPr>
          <w:rFonts w:ascii="Times New Roman" w:hAnsi="Times New Roman" w:eastAsia="黑体" w:cs="Times New Roman"/>
          <w:b/>
          <w:sz w:val="28"/>
        </w:rPr>
        <w:t xml:space="preserve">S6 评价指标与统计方法</w:t>
      </w:r>
    </w:p>
    <w:bookmarkStart w:id="42" w:name="s6.1-领域语义和中间表示"/>
    <w:p>
      <w:pPr>
        <w:pStyle w:val="Heading2"/>
        <w:keepNext/>
        <w:keepLines/>
        <w:ind w:firstLine="0"/>
        <w:jc w:val="left"/>
      </w:pPr>
      <w:r>
        <w:rPr>
          <w:rFonts w:ascii="Times New Roman" w:hAnsi="Times New Roman" w:eastAsia="黑体" w:cs="Times New Roman"/>
          <w:b/>
          <w:sz w:val="24"/>
        </w:rPr>
        <w:t xml:space="preserve">S6.1 领域语义和中间表示</w:t>
      </w:r>
    </w:p>
    <w:p>
      <w:pPr>
        <w:pStyle w:val="FirstParagraph"/>
        <w:keepLines/>
        <w:spacing w:before="60" w:after="60"/>
        <w:ind w:firstLine="0"/>
        <w:jc w:val="center"/>
      </w:pPr>
      <w:r>
        <w:t xml:space="preserve">设参考参数集合为</w:t>
      </w:r>
      <m:oMath>
        <m:sSup>
          <m:e>
            <m:r>
              <m:t>P</m:t>
            </m:r>
          </m:e>
          <m:sup>
            <m:r>
              <m:t>r</m:t>
            </m:r>
          </m:sup>
        </m:sSup>
      </m:oMath>
      <w:r>
        <w:t xml:space="preserve">，模型提取参数集合为</w:t>
      </w:r>
      <m:oMath>
        <m:sSup>
          <m:e>
            <m:r>
              <m:t>P</m:t>
            </m:r>
          </m:e>
          <m:sup>
            <m:r>
              <m:t>g</m:t>
            </m:r>
          </m:sup>
        </m:sSup>
      </m:oMath>
      <w:r>
        <w:t xml:space="preserve">。离散参数和特征类型要求完全匹配；长度和角度参数在统一单位后分别采用0.05 mm和0.1°绝对容差。参数识别准确率为</w:t>
      </w:r>
    </w:p>
    <w:p>
      <w:pPr>
        <w:pStyle w:val="BodyText"/>
        <w:keepLines/>
        <w:spacing w:before="60" w:after="6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d>
                <m:dPr>
                  <m:begChr m:val="|"/>
                  <m:endChr m:val="|"/>
                  <m:sepChr m:val=""/>
                  <m:grow/>
                </m:dPr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r</m:t>
                      </m:r>
                    </m:sup>
                  </m:sSup>
                </m:e>
              </m:d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d>
                <m:dPr>
                  <m:begChr m:val="|"/>
                  <m:endChr m:val="|"/>
                  <m:sepChr m:val=""/>
                  <m:grow/>
                </m:dPr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r</m:t>
                      </m:r>
                    </m:sup>
                  </m:sSup>
                </m:e>
              </m:d>
            </m:sup>
            <m:e>
              <m:r>
                <m:rPr>
                  <m:sty m:val="p"/>
                  <m:scr m:val="double-struck"/>
                </m:rPr>
                <m:t>I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p</m:t>
                  </m:r>
                </m:e>
                <m:sub>
                  <m:r>
                    <m:t>j</m:t>
                  </m:r>
                </m:sub>
                <m:sup>
                  <m:r>
                    <m:t>g</m:t>
                  </m:r>
                </m:sup>
              </m:sSubSup>
              <m:r>
                <m:t> </m:t>
              </m:r>
              <m:r>
                <m:rPr>
                  <m:nor/>
                  <m:sty m:val="p"/>
                </m:rPr>
                <m:t>is correct</m:t>
              </m:r>
            </m:e>
          </m:d>
        </m:oMath>
      </m:oMathPara>
    </w:p>
    <w:p>
      <w:pPr>
        <w:pStyle w:val="FirstParagraph"/>
      </w:pPr>
      <w:r>
        <w:rPr>
          <w:rFonts w:ascii="Times New Roman" w:hAnsi="Times New Roman" w:eastAsia="宋体" w:cs="Times New Roman"/>
          <w:sz w:val="21"/>
        </w:rPr>
        <w:t xml:space="preserve">Feature Graph节点按照操作类型、作用对象和规范化参数签名匹配，并计算节点精确率、召回率和F1；依赖边F1评价输入输出关系。约束覆盖率为</w:t>
      </w:r>
    </w:p>
    <w:p>
      <w:pPr>
        <w:pStyle w:val="BodyText"/>
        <w:keepLines/>
        <w:spacing w:before="60" w:after="6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c</m:t>
              </m:r>
              <m:r>
                <m:t>o</m:t>
              </m:r>
              <m:r>
                <m:t>v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endChr m:val="|"/>
                  <m:sepChr m:val=""/>
                  <m:grow/>
                </m:dPr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g</m:t>
                      </m:r>
                    </m:sup>
                  </m:sSup>
                  <m:r>
                    <m:rPr>
                      <m:sty m:val="p"/>
                    </m:rPr>
                    <m:t>∩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t>r</m:t>
                      </m:r>
                    </m:sup>
                  </m:sSup>
                </m:e>
              </m:d>
            </m:num>
            <m:den>
              <m:d>
                <m:dPr>
                  <m:begChr m:val="|"/>
                  <m:endChr m:val="|"/>
                  <m:sepChr m:val=""/>
                  <m:grow/>
                </m:dPr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r</m:t>
                      </m:r>
                    </m:sup>
                  </m:sSup>
                </m:e>
              </m:d>
            </m:den>
          </m:f>
        </m:oMath>
      </m:oMathPara>
    </w:p>
    <w:p>
      <w:pPr>
        <w:pStyle w:val="FirstParagraph"/>
      </w:pPr>
      <w:r>
        <w:rPr>
          <w:rFonts w:ascii="Times New Roman" w:hAnsi="Times New Roman" w:eastAsia="宋体" w:cs="Times New Roman"/>
          <w:sz w:val="21"/>
        </w:rPr>
        <w:t xml:space="preserve">Disk-G-CAD一次合法率为</w:t>
      </w:r>
    </w:p>
    <w:p>
      <w:pPr>
        <w:pStyle w:val="BodyText"/>
        <w:keepLines/>
        <w:spacing w:before="60" w:after="6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v</m:t>
              </m:r>
              <m:r>
                <m:t>a</m:t>
              </m:r>
              <m:r>
                <m:t>l</m:t>
              </m:r>
              <m:r>
                <m:t>i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v</m:t>
                  </m:r>
                  <m:r>
                    <m:t>a</m:t>
                  </m:r>
                  <m:r>
                    <m:t>l</m:t>
                  </m:r>
                  <m:r>
                    <m:t>i</m:t>
                  </m:r>
                  <m:r>
                    <m:t>d</m:t>
                  </m:r>
                  <m:r>
                    <m:t> </m:t>
                  </m:r>
                  <m:r>
                    <m:t>a</m:t>
                  </m:r>
                  <m:r>
                    <m:t>t</m:t>
                  </m:r>
                  <m:r>
                    <m:t> </m:t>
                  </m:r>
                  <m:r>
                    <m:t>f</m:t>
                  </m:r>
                  <m:r>
                    <m:t>i</m:t>
                  </m:r>
                  <m:r>
                    <m:t>r</m:t>
                  </m:r>
                  <m:r>
                    <m:t>s</m:t>
                  </m:r>
                  <m:r>
                    <m:t>t</m:t>
                  </m:r>
                  <m:r>
                    <m:t> </m:t>
                  </m:r>
                  <m:r>
                    <m:t>g</m:t>
                  </m:r>
                  <m:r>
                    <m:t>e</m:t>
                  </m:r>
                  <m:r>
                    <m:t>n</m:t>
                  </m:r>
                  <m:r>
                    <m:t>e</m:t>
                  </m:r>
                  <m:r>
                    <m:t>r</m:t>
                  </m:r>
                  <m:r>
                    <m:t>a</m:t>
                  </m:r>
                  <m:r>
                    <m:t>t</m:t>
                  </m:r>
                  <m:r>
                    <m:t>i</m:t>
                  </m:r>
                  <m:r>
                    <m:t>o</m:t>
                  </m:r>
                  <m:r>
                    <m:t>n</m:t>
                  </m:r>
                </m:sub>
              </m:sSub>
            </m:num>
            <m:den>
              <m:r>
                <m:t>N</m:t>
              </m:r>
            </m:den>
          </m:f>
        </m:oMath>
      </m:oMathPara>
    </w:p>
    <w:bookmarkEnd w:id="42"/>
    <w:bookmarkStart w:id="43" w:name="s6.2-端到端成功与不可行设计"/>
    <w:p>
      <w:pPr>
        <w:pStyle w:val="Heading2"/>
        <w:keepNext/>
        <w:keepLines/>
        <w:ind w:firstLine="0"/>
        <w:jc w:val="left"/>
      </w:pPr>
      <w:r>
        <w:rPr>
          <w:rFonts w:ascii="Times New Roman" w:hAnsi="Times New Roman" w:eastAsia="黑体" w:cs="Times New Roman"/>
          <w:b/>
          <w:sz w:val="24"/>
        </w:rPr>
        <w:t xml:space="preserve">S6.2 端到端成功与不可行设计</w:t>
      </w:r>
    </w:p>
    <w:p>
      <w:pPr>
        <w:pStyle w:val="FirstParagraph"/>
        <w:keepLines/>
        <w:spacing w:before="60" w:after="60"/>
        <w:ind w:firstLine="0"/>
        <w:jc w:val="center"/>
      </w:pPr>
      <m:oMathPara>
        <m:oMathParaPr>
          <m:jc m:val="center"/>
        </m:oMathParaPr>
        <m:oMath>
          <m:r>
            <m:t>P</m:t>
          </m:r>
          <m:r>
            <m:t>a</m:t>
          </m:r>
          <m:r>
            <m:t>s</m:t>
          </m:r>
          <m:r>
            <m:t>s</m:t>
          </m:r>
          <m:r>
            <m:rPr>
              <m:sty m:val="p"/>
            </m:rPr>
            <m:t>@</m:t>
          </m:r>
          <m:r>
            <m:t>1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s</m:t>
                  </m:r>
                  <m:r>
                    <m:t>u</m:t>
                  </m:r>
                  <m:r>
                    <m:t>c</m:t>
                  </m:r>
                  <m:r>
                    <m:t>c</m:t>
                  </m:r>
                  <m:r>
                    <m:t>e</m:t>
                  </m:r>
                  <m:r>
                    <m:t>s</m:t>
                  </m:r>
                  <m:r>
                    <m:t>s</m:t>
                  </m:r>
                  <m:r>
                    <m:t> </m:t>
                  </m:r>
                  <m:r>
                    <m:t>w</m:t>
                  </m:r>
                  <m:r>
                    <m:t>i</m:t>
                  </m:r>
                  <m:r>
                    <m:t>t</m:t>
                  </m:r>
                  <m:r>
                    <m:t>h</m:t>
                  </m:r>
                  <m:r>
                    <m:t>o</m:t>
                  </m:r>
                  <m:r>
                    <m:t>u</m:t>
                  </m:r>
                  <m:r>
                    <m:t>t</m:t>
                  </m:r>
                  <m:r>
                    <m:t> </m:t>
                  </m:r>
                  <m:r>
                    <m:t>c</m:t>
                  </m:r>
                  <m:r>
                    <m:t>o</m:t>
                  </m:r>
                  <m:r>
                    <m:t>r</m:t>
                  </m:r>
                  <m:r>
                    <m:t>r</m:t>
                  </m:r>
                  <m:r>
                    <m:t>e</m:t>
                  </m:r>
                  <m:r>
                    <m:t>c</m:t>
                  </m:r>
                  <m:r>
                    <m:t>t</m:t>
                  </m:r>
                  <m:r>
                    <m:t>i</m:t>
                  </m:r>
                  <m:r>
                    <m:t>o</m:t>
                  </m:r>
                  <m:r>
                    <m:t>n</m:t>
                  </m:r>
                </m:sub>
              </m:sSub>
            </m:num>
            <m:den>
              <m:r>
                <m:t>N</m:t>
              </m:r>
            </m:den>
          </m:f>
        </m:oMath>
      </m:oMathPara>
    </w:p>
    <w:p>
      <w:pPr>
        <w:pStyle w:val="FirstParagraph"/>
        <w:keepLines/>
        <w:spacing w:before="60" w:after="60"/>
        <w:ind w:firstLine="0"/>
        <w:jc w:val="center"/>
      </w:pPr>
      <m:oMathPara>
        <m:oMathParaPr>
          <m:jc m:val="center"/>
        </m:oMathParaPr>
        <m:oMath>
          <m:r>
            <m:t>F</m:t>
          </m:r>
          <m:r>
            <m:t>i</m:t>
          </m:r>
          <m:r>
            <m:t>n</m:t>
          </m:r>
          <m:r>
            <m:t>a</m:t>
          </m:r>
          <m:r>
            <m:t>l</m:t>
          </m:r>
          <m:r>
            <m:t>S</m:t>
          </m:r>
          <m:r>
            <m:t>u</m:t>
          </m:r>
          <m:r>
            <m:t>c</m:t>
          </m:r>
          <m:r>
            <m:t>c</m:t>
          </m:r>
          <m:r>
            <m:t>e</m:t>
          </m:r>
          <m:r>
            <m:t>s</m:t>
          </m:r>
          <m:r>
            <m:t>s</m:t>
          </m:r>
          <m:r>
            <m:rPr>
              <m:sty m:val="p"/>
            </m:rPr>
            <m:t>@</m:t>
          </m:r>
          <m:r>
            <m:t>3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s</m:t>
                  </m:r>
                  <m:r>
                    <m:t>u</m:t>
                  </m:r>
                  <m:r>
                    <m:t>c</m:t>
                  </m:r>
                  <m:r>
                    <m:t>c</m:t>
                  </m:r>
                  <m:r>
                    <m:t>e</m:t>
                  </m:r>
                  <m:r>
                    <m:t>s</m:t>
                  </m:r>
                  <m:r>
                    <m:t>s</m:t>
                  </m:r>
                  <m:r>
                    <m:t> </m:t>
                  </m:r>
                  <m:r>
                    <m:t>w</m:t>
                  </m:r>
                  <m:r>
                    <m:t>i</m:t>
                  </m:r>
                  <m:r>
                    <m:t>t</m:t>
                  </m:r>
                  <m:r>
                    <m:t>h</m:t>
                  </m:r>
                  <m:r>
                    <m:t>i</m:t>
                  </m:r>
                  <m:r>
                    <m:t>n</m:t>
                  </m:r>
                  <m:r>
                    <m:t> </m:t>
                  </m:r>
                  <m:r>
                    <m:t>3</m:t>
                  </m:r>
                  <m:r>
                    <m:t> </m:t>
                  </m:r>
                  <m:r>
                    <m:t>c</m:t>
                  </m:r>
                  <m:r>
                    <m:t>o</m:t>
                  </m:r>
                  <m:r>
                    <m:t>r</m:t>
                  </m:r>
                  <m:r>
                    <m:t>r</m:t>
                  </m:r>
                  <m:r>
                    <m:t>e</m:t>
                  </m:r>
                  <m:r>
                    <m:t>c</m:t>
                  </m:r>
                  <m:r>
                    <m:t>t</m:t>
                  </m:r>
                  <m:r>
                    <m:t>i</m:t>
                  </m:r>
                  <m:r>
                    <m:t>o</m:t>
                  </m:r>
                  <m:r>
                    <m:t>n</m:t>
                  </m:r>
                  <m:r>
                    <m:t>s</m:t>
                  </m:r>
                </m:sub>
              </m:sSub>
            </m:num>
            <m:den>
              <m:r>
                <m:t>N</m:t>
              </m:r>
            </m:den>
          </m:f>
        </m:oMath>
      </m:oMathPara>
    </w:p>
    <w:p>
      <w:pPr>
        <w:pStyle w:val="FirstParagraph"/>
        <w:keepLines/>
        <w:spacing w:before="60" w:after="6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r</m:t>
              </m:r>
              <m:r>
                <m:t>e</m:t>
              </m:r>
              <m:r>
                <m:t>j</m:t>
              </m:r>
              <m:r>
                <m:t>e</m:t>
              </m:r>
              <m:r>
                <m:t>c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c</m:t>
                  </m:r>
                  <m:r>
                    <m:t>o</m:t>
                  </m:r>
                  <m:r>
                    <m:t>r</m:t>
                  </m:r>
                  <m:r>
                    <m:t>r</m:t>
                  </m:r>
                  <m:r>
                    <m:t>e</m:t>
                  </m:r>
                  <m:r>
                    <m:t>c</m:t>
                  </m:r>
                  <m:r>
                    <m:t>t</m:t>
                  </m:r>
                  <m:r>
                    <m:t>l</m:t>
                  </m:r>
                  <m:r>
                    <m:t>y</m:t>
                  </m:r>
                  <m:r>
                    <m:t> </m:t>
                  </m:r>
                  <m:r>
                    <m:t>r</m:t>
                  </m:r>
                  <m:r>
                    <m:t>e</m:t>
                  </m:r>
                  <m:r>
                    <m:t>j</m:t>
                  </m:r>
                  <m:r>
                    <m:t>e</m:t>
                  </m:r>
                  <m:r>
                    <m:t>c</m:t>
                  </m:r>
                  <m:r>
                    <m:t>t</m:t>
                  </m:r>
                  <m:r>
                    <m:t>e</m:t>
                  </m:r>
                  <m:r>
                    <m:t>d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f</m:t>
                  </m:r>
                  <m:r>
                    <m:t>e</m:t>
                  </m:r>
                  <m:r>
                    <m:t>a</m:t>
                  </m:r>
                  <m:r>
                    <m:t>s</m:t>
                  </m:r>
                  <m:r>
                    <m:t>i</m:t>
                  </m:r>
                  <m:r>
                    <m:t>b</m:t>
                  </m:r>
                  <m:r>
                    <m:t>l</m:t>
                  </m:r>
                  <m:r>
                    <m:t>e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ascii="Times New Roman" w:hAnsi="Times New Roman" w:eastAsia="宋体" w:cs="Times New Roman"/>
          <w:sz w:val="21"/>
        </w:rPr>
        <w:t xml:space="preserve">只有明确识别冲突且未修改硬约束的结果才记为正确拒绝。</w:t>
      </w:r>
    </w:p>
    <w:bookmarkEnd w:id="43"/>
    <w:bookmarkStart w:id="44" w:name="s6.3-几何质量"/>
    <w:p>
      <w:pPr>
        <w:pStyle w:val="Heading2"/>
        <w:keepNext/>
        <w:keepLines/>
        <w:ind w:firstLine="0"/>
        <w:jc w:val="left"/>
      </w:pPr>
      <w:r>
        <w:rPr>
          <w:rFonts w:ascii="Times New Roman" w:hAnsi="Times New Roman" w:eastAsia="黑体" w:cs="Times New Roman"/>
          <w:b/>
          <w:sz w:val="24"/>
        </w:rPr>
        <w:t xml:space="preserve">S6.3 几何质量</w:t>
      </w:r>
    </w:p>
    <w:p>
      <w:pPr>
        <w:pStyle w:val="FirstParagraph"/>
        <w:keepLines/>
        <w:spacing w:before="60" w:after="60"/>
        <w:ind w:firstLine="0"/>
        <w:jc w:val="center"/>
      </w:pPr>
      <w:r>
        <w:t xml:space="preserve">对于</w:t>
      </w:r>
      <m:oMath>
        <m:r>
          <m:t>M</m:t>
        </m:r>
      </m:oMath>
      <w:r>
        <w:t xml:space="preserve">个关键尺寸，平均相对误差为</w:t>
      </w:r>
    </w:p>
    <w:p>
      <w:pPr>
        <w:pStyle w:val="BodyText"/>
        <w:keepLines/>
        <w:spacing w:before="60" w:after="6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d</m:t>
              </m:r>
              <m:r>
                <m:t>i</m:t>
              </m:r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f>
                <m:fPr>
                  <m:type m:val="bar"/>
                </m:fPr>
                <m:num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sSubSup>
                        <m:e>
                          <m:r>
                            <m:t>d</m:t>
                          </m:r>
                        </m:e>
                        <m:sub>
                          <m:r>
                            <m:t>j</m:t>
                          </m:r>
                        </m:sub>
                        <m:sup>
                          <m:r>
                            <m:t>g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d</m:t>
                          </m:r>
                        </m:e>
                        <m:sub>
                          <m:r>
                            <m:t>j</m:t>
                          </m:r>
                        </m:sub>
                        <m:sup>
                          <m:r>
                            <m:t>r</m:t>
                          </m:r>
                        </m:sup>
                      </m:sSubSup>
                    </m:e>
                  </m:d>
                </m:num>
                <m:den>
                  <m:r>
                    <m:rPr>
                      <m:sty m:val="p"/>
                    </m:rPr>
                    <m:t>max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d>
                        <m:dPr>
                          <m:begChr m:val="|"/>
                          <m:endChr m:val="|"/>
                          <m:sepChr m:val=""/>
                          <m:grow/>
                        </m:dPr>
                        <m:e>
                          <m:sSubSup>
                            <m:e>
                              <m:r>
                                <m:t>d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  <m:sup>
                              <m:r>
                                <m:t>r</m:t>
                              </m:r>
                            </m:sup>
                          </m:sSubSup>
                        </m:e>
                      </m:d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m</m:t>
                      </m:r>
                    </m:e>
                  </m:d>
                </m:den>
              </m:f>
            </m:e>
          </m:nary>
        </m:oMath>
      </m:oMathPara>
    </w:p>
    <w:p>
      <w:pPr>
        <w:pStyle w:val="FirstParagraph"/>
      </w:pPr>
      <w:r>
        <w:rPr>
          <w:rFonts w:ascii="Times New Roman" w:hAnsi="Times New Roman" w:eastAsia="宋体" w:cs="Times New Roman"/>
          <w:sz w:val="21"/>
        </w:rPr>
        <w:t xml:space="preserve">体积相对误差为</w:t>
      </w:r>
    </w:p>
    <w:p>
      <w:pPr>
        <w:pStyle w:val="BodyText"/>
        <w:keepLines/>
        <w:spacing w:before="60" w:after="6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endChr m:val="|"/>
                  <m:sepChr m:val=""/>
                  <m:grow/>
                </m:dPr>
                <m:e>
                  <m:sSup>
                    <m:e>
                      <m:r>
                        <m:t>V</m:t>
                      </m:r>
                    </m:e>
                    <m:sup>
                      <m:r>
                        <m:t>g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V</m:t>
                      </m:r>
                    </m:e>
                    <m:sup>
                      <m:r>
                        <m:t>r</m:t>
                      </m:r>
                    </m:sup>
                  </m:sSup>
                </m:e>
              </m:d>
            </m:num>
            <m:den>
              <m:sSup>
                <m:e>
                  <m:r>
                    <m:t>V</m:t>
                  </m:r>
                </m:e>
                <m:sup>
                  <m:r>
                    <m:t>r</m:t>
                  </m:r>
                </m:sup>
              </m:sSup>
            </m:den>
          </m:f>
        </m:oMath>
      </m:oMathPara>
    </w:p>
    <w:p>
      <w:pPr>
        <w:pStyle w:val="FirstParagraph"/>
        <w:keepLines/>
        <w:spacing w:before="60" w:after="60"/>
        <w:ind w:firstLine="0"/>
        <w:jc w:val="center"/>
      </w:pPr>
      <w:r>
        <w:t xml:space="preserve">生成与参考榫槽轮廓分别表示为</w:t>
      </w:r>
      <m:oMath>
        <m:sSub>
          <m:e>
            <m:r>
              <m:t>Γ</m:t>
            </m:r>
          </m:e>
          <m:sub>
            <m:r>
              <m:t>g</m:t>
            </m:r>
          </m:sub>
        </m:sSub>
      </m:oMath>
      <w:r>
        <w:t xml:space="preserve">和</w:t>
      </w:r>
      <m:oMath>
        <m:sSub>
          <m:e>
            <m:r>
              <m:t>Γ</m:t>
            </m:r>
          </m:e>
          <m:sub>
            <m:r>
              <m:t>r</m:t>
            </m:r>
          </m:sub>
        </m:sSub>
      </m:oMath>
      <w:r>
        <w:t xml:space="preserve">，每条轮廓按弧长均匀采样2 000点，归一化Hausdorff距离为</w:t>
      </w:r>
    </w:p>
    <w:p>
      <w:pPr>
        <w:pStyle w:val="BodyText"/>
        <w:keepLines/>
        <w:spacing w:before="60" w:after="6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s</m:t>
              </m:r>
              <m:r>
                <m:t>l</m:t>
              </m:r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H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g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Γ</m:t>
                      </m:r>
                    </m:e>
                    <m:sub>
                      <m:r>
                        <m:t>r</m:t>
                      </m:r>
                    </m:sub>
                  </m:sSub>
                </m:e>
              </m:d>
            </m:num>
            <m:den>
              <m:sSub>
                <m:e>
                  <m:r>
                    <m:t>h</m:t>
                  </m:r>
                </m:e>
                <m:sub>
                  <m:r>
                    <m:t>s</m:t>
                  </m:r>
                </m:sub>
              </m:sSub>
            </m:den>
          </m:f>
        </m:oMath>
      </m:oMathPara>
    </w:p>
    <w:p>
      <w:pPr>
        <w:pStyle w:val="FirstParagraph"/>
        <w:keepLines/>
        <w:spacing w:before="60" w:after="60"/>
        <w:ind w:firstLine="0"/>
        <w:jc w:val="center"/>
      </w:pPr>
      <w:r>
        <w:t xml:space="preserve">其中</w:t>
      </w:r>
      <m:oMath>
        <m:sSub>
          <m:e>
            <m:r>
              <m:t>h</m:t>
            </m:r>
          </m:e>
          <m:sub>
            <m:r>
              <m:t>s</m:t>
            </m:r>
          </m:sub>
        </m:sSub>
      </m:oMath>
      <w:r>
        <w:t xml:space="preserve">为参考榫槽总深度。STEP回读通过条件为：重新导入后形成有效单一实体；体积相对误差不超过0.1%；关键尺寸差异不超过0.05 mm；孔、环槽和榫槽数量保持一致；榫槽齿数与轮廓关键参数保持一致。</w:t>
      </w:r>
    </w:p>
    <w:bookmarkEnd w:id="44"/>
    <w:bookmarkStart w:id="45" w:name="s6.4-参数再生纠错与mcp"/>
    <w:p>
      <w:pPr>
        <w:pStyle w:val="Heading2"/>
        <w:keepNext/>
        <w:keepLines/>
        <w:ind w:firstLine="0"/>
        <w:jc w:val="left"/>
      </w:pPr>
      <w:r>
        <w:rPr>
          <w:rFonts w:ascii="Times New Roman" w:hAnsi="Times New Roman" w:eastAsia="黑体" w:cs="Times New Roman"/>
          <w:b/>
          <w:sz w:val="24"/>
        </w:rPr>
        <w:t xml:space="preserve">S6.4 参数再生、纠错与MCP</w:t>
      </w:r>
    </w:p>
    <w:p>
      <w:pPr>
        <w:pStyle w:val="FirstParagraph"/>
        <w:keepLines/>
        <w:spacing w:before="60" w:after="6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r</m:t>
              </m:r>
              <m:r>
                <m:t>e</m:t>
              </m:r>
              <m:r>
                <m:t>g</m:t>
              </m:r>
              <m:r>
                <m:t>e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v</m:t>
                  </m:r>
                  <m:r>
                    <m:t>a</m:t>
                  </m:r>
                  <m:r>
                    <m:t>l</m:t>
                  </m:r>
                  <m:r>
                    <m:t>i</m:t>
                  </m:r>
                  <m:r>
                    <m:t>d</m:t>
                  </m:r>
                  <m:r>
                    <m:t> </m:t>
                  </m:r>
                  <m:r>
                    <m:t>r</m:t>
                  </m:r>
                  <m:r>
                    <m:t>e</m:t>
                  </m:r>
                  <m:r>
                    <m:t>g</m:t>
                  </m:r>
                  <m:r>
                    <m:t>e</m:t>
                  </m:r>
                  <m:r>
                    <m:t>n</m:t>
                  </m:r>
                  <m:r>
                    <m:t>e</m:t>
                  </m:r>
                  <m:r>
                    <m:t>r</m:t>
                  </m:r>
                  <m:r>
                    <m:t>a</m:t>
                  </m:r>
                  <m:r>
                    <m:t>t</m:t>
                  </m:r>
                  <m:r>
                    <m:t>e</m:t>
                  </m:r>
                  <m:r>
                    <m:t>d</m:t>
                  </m:r>
                  <m:r>
                    <m:t> </m:t>
                  </m:r>
                  <m:r>
                    <m:t>m</m:t>
                  </m:r>
                  <m:r>
                    <m:t>o</m:t>
                  </m:r>
                  <m:r>
                    <m:t>d</m:t>
                  </m:r>
                  <m:r>
                    <m:t>e</m:t>
                  </m:r>
                  <m:r>
                    <m:t>l</m:t>
                  </m:r>
                  <m:r>
                    <m:t>s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p</m:t>
                  </m:r>
                  <m:r>
                    <m:t>a</m:t>
                  </m:r>
                  <m:r>
                    <m:t>r</m:t>
                  </m:r>
                  <m:r>
                    <m:t>a</m:t>
                  </m:r>
                  <m:r>
                    <m:t>m</m:t>
                  </m:r>
                  <m:r>
                    <m:t>e</m:t>
                  </m:r>
                  <m:r>
                    <m:t>t</m:t>
                  </m:r>
                  <m:r>
                    <m:t>e</m:t>
                  </m:r>
                  <m:r>
                    <m:t>r</m:t>
                  </m:r>
                  <m:r>
                    <m:t> </m:t>
                  </m:r>
                  <m:r>
                    <m:t>p</m:t>
                  </m:r>
                  <m:r>
                    <m:t>e</m:t>
                  </m:r>
                  <m:r>
                    <m:t>r</m:t>
                  </m:r>
                  <m:r>
                    <m:t>t</m:t>
                  </m:r>
                  <m:r>
                    <m:t>u</m:t>
                  </m:r>
                  <m:r>
                    <m:t>r</m:t>
                  </m:r>
                  <m:r>
                    <m:t>b</m:t>
                  </m:r>
                  <m:r>
                    <m:t>a</m:t>
                  </m:r>
                  <m:r>
                    <m:t>t</m:t>
                  </m:r>
                  <m:r>
                    <m:t>i</m:t>
                  </m:r>
                  <m:r>
                    <m:t>o</m:t>
                  </m:r>
                  <m:r>
                    <m:t>n</m:t>
                  </m:r>
                  <m:r>
                    <m:t>s</m:t>
                  </m:r>
                </m:sub>
              </m:sSub>
            </m:den>
          </m:f>
        </m:oMath>
      </m:oMathPara>
    </w:p>
    <w:p>
      <w:pPr>
        <w:pStyle w:val="FirstParagraph"/>
        <w:keepLines/>
        <w:spacing w:before="60" w:after="6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l</m:t>
              </m:r>
              <m:r>
                <m:t>o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e</m:t>
                  </m:r>
                  <m:r>
                    <m:t>r</m:t>
                  </m:r>
                  <m:r>
                    <m:t>r</m:t>
                  </m:r>
                  <m:r>
                    <m:t>o</m:t>
                  </m:r>
                  <m:r>
                    <m:t>r</m:t>
                  </m:r>
                  <m:r>
                    <m:t>s</m:t>
                  </m:r>
                  <m:r>
                    <m:t> </m:t>
                  </m:r>
                  <m:r>
                    <m:t>m</m:t>
                  </m:r>
                  <m:r>
                    <m:t>a</m:t>
                  </m:r>
                  <m:r>
                    <m:t>p</m:t>
                  </m:r>
                  <m:r>
                    <m:t>p</m:t>
                  </m:r>
                  <m:r>
                    <m:t>e</m:t>
                  </m:r>
                  <m:r>
                    <m:t>d</m:t>
                  </m:r>
                  <m:r>
                    <m:t> </m:t>
                  </m:r>
                  <m:r>
                    <m:t>t</m:t>
                  </m:r>
                  <m:r>
                    <m:t>o</m:t>
                  </m:r>
                  <m:r>
                    <m:t> </m:t>
                  </m:r>
                  <m:r>
                    <m:t>c</m:t>
                  </m:r>
                  <m:r>
                    <m:t>o</m:t>
                  </m:r>
                  <m:r>
                    <m:t>r</m:t>
                  </m:r>
                  <m:r>
                    <m:t>r</m:t>
                  </m:r>
                  <m:r>
                    <m:t>e</m:t>
                  </m:r>
                  <m:r>
                    <m:t>c</m:t>
                  </m:r>
                  <m:r>
                    <m:t>t</m:t>
                  </m:r>
                  <m:r>
                    <m:t> </m:t>
                  </m:r>
                  <m:r>
                    <m:t>n</m:t>
                  </m:r>
                  <m:r>
                    <m:t>o</m:t>
                  </m:r>
                  <m:r>
                    <m:t>d</m:t>
                  </m:r>
                  <m:r>
                    <m:t>e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c</m:t>
                  </m:r>
                  <m:r>
                    <m:t>a</m:t>
                  </m:r>
                  <m:r>
                    <m:t>t</m:t>
                  </m:r>
                  <m:r>
                    <m:t>a</m:t>
                  </m:r>
                  <m:r>
                    <m:t>b</m:t>
                  </m:r>
                  <m:r>
                    <m:t>l</m:t>
                  </m:r>
                  <m:r>
                    <m:t>e</m:t>
                  </m:r>
                  <m:r>
                    <m:t> </m:t>
                  </m:r>
                  <m:r>
                    <m:t>e</m:t>
                  </m:r>
                  <m:r>
                    <m:t>r</m:t>
                  </m:r>
                  <m:r>
                    <m:t>r</m:t>
                  </m:r>
                  <m:r>
                    <m:t>o</m:t>
                  </m:r>
                  <m:r>
                    <m:t>r</m:t>
                  </m:r>
                  <m:r>
                    <m:t>s</m:t>
                  </m:r>
                </m:sub>
              </m:sSub>
            </m:den>
          </m:f>
        </m:oMath>
      </m:oMathPara>
    </w:p>
    <w:p>
      <w:pPr>
        <w:pStyle w:val="FirstParagraph"/>
        <w:keepLines/>
        <w:spacing w:before="60" w:after="6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r</m:t>
              </m:r>
              <m:r>
                <m:t>e</m:t>
              </m:r>
              <m:r>
                <m:t>p</m:t>
              </m:r>
              <m:r>
                <m:t>a</m:t>
              </m:r>
              <m:r>
                <m:t>i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e</m:t>
                  </m:r>
                  <m:r>
                    <m:t>r</m:t>
                  </m:r>
                  <m:r>
                    <m:t>r</m:t>
                  </m:r>
                  <m:r>
                    <m:t>o</m:t>
                  </m:r>
                  <m:r>
                    <m:t>r</m:t>
                  </m:r>
                  <m:r>
                    <m:t>s</m:t>
                  </m:r>
                  <m:r>
                    <m:t> </m:t>
                  </m:r>
                  <m:r>
                    <m:t>r</m:t>
                  </m:r>
                  <m:r>
                    <m:t>e</m:t>
                  </m:r>
                  <m:r>
                    <m:t>p</m:t>
                  </m:r>
                  <m:r>
                    <m:t>a</m:t>
                  </m:r>
                  <m:r>
                    <m:t>i</m:t>
                  </m:r>
                  <m:r>
                    <m:t>r</m:t>
                  </m:r>
                  <m:r>
                    <m:t>e</m:t>
                  </m:r>
                  <m:r>
                    <m:t>d</m:t>
                  </m:r>
                  <m:r>
                    <m:t> </m:t>
                  </m:r>
                  <m:r>
                    <m:t>a</m:t>
                  </m:r>
                  <m:r>
                    <m:t>u</m:t>
                  </m:r>
                  <m:r>
                    <m:t>t</m:t>
                  </m:r>
                  <m:r>
                    <m:t>o</m:t>
                  </m:r>
                  <m:r>
                    <m:t>m</m:t>
                  </m:r>
                  <m:r>
                    <m:t>a</m:t>
                  </m:r>
                  <m:r>
                    <m:t>t</m:t>
                  </m:r>
                  <m:r>
                    <m:t>i</m:t>
                  </m:r>
                  <m:r>
                    <m:t>c</m:t>
                  </m:r>
                  <m:r>
                    <m:t>a</m:t>
                  </m:r>
                  <m:r>
                    <m:t>l</m:t>
                  </m:r>
                  <m:r>
                    <m:t>l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p</m:t>
                  </m:r>
                  <m:r>
                    <m:t>a</m:t>
                  </m:r>
                  <m:r>
                    <m:t>i</m:t>
                  </m:r>
                  <m:r>
                    <m:t>r</m:t>
                  </m:r>
                  <m:r>
                    <m:t>a</m:t>
                  </m:r>
                  <m:r>
                    <m:t>b</m:t>
                  </m:r>
                  <m:r>
                    <m:t>l</m:t>
                  </m:r>
                  <m:r>
                    <m:t>e</m:t>
                  </m:r>
                  <m:r>
                    <m:t> </m:t>
                  </m:r>
                  <m:r>
                    <m:t>e</m:t>
                  </m:r>
                  <m:r>
                    <m:t>r</m:t>
                  </m:r>
                  <m:r>
                    <m:t>r</m:t>
                  </m:r>
                  <m:r>
                    <m:t>o</m:t>
                  </m:r>
                  <m:r>
                    <m:t>r</m:t>
                  </m:r>
                  <m:r>
                    <m:t>s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ascii="Times New Roman" w:hAnsi="Times New Roman" w:eastAsia="宋体" w:cs="Times New Roman"/>
          <w:sz w:val="21"/>
        </w:rPr>
        <w:t xml:space="preserve">MCP参数绑定准确率与多工具工作流完成率分别为</w:t>
      </w:r>
    </w:p>
    <w:p>
      <w:pPr>
        <w:pStyle w:val="BodyText"/>
        <w:keepLines/>
        <w:spacing w:before="60" w:after="6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a</m:t>
              </m:r>
              <m:r>
                <m:t>r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c</m:t>
                  </m:r>
                  <m:r>
                    <m:t>o</m:t>
                  </m:r>
                  <m:r>
                    <m:t>r</m:t>
                  </m:r>
                  <m:r>
                    <m:t>r</m:t>
                  </m:r>
                  <m:r>
                    <m:t>e</m:t>
                  </m:r>
                  <m:r>
                    <m:t>c</m:t>
                  </m:r>
                  <m:r>
                    <m:t>t</m:t>
                  </m:r>
                  <m:r>
                    <m:t>l</m:t>
                  </m:r>
                  <m:r>
                    <m:t>y</m:t>
                  </m:r>
                  <m:r>
                    <m:t> </m:t>
                  </m:r>
                  <m:r>
                    <m:t>b</m:t>
                  </m:r>
                  <m:r>
                    <m:t>o</m:t>
                  </m:r>
                  <m:r>
                    <m:t>u</m:t>
                  </m:r>
                  <m:r>
                    <m:t>n</m:t>
                  </m:r>
                  <m:r>
                    <m:t>d</m:t>
                  </m:r>
                  <m:r>
                    <m:t> </m:t>
                  </m:r>
                  <m:r>
                    <m:t>a</m:t>
                  </m:r>
                  <m:r>
                    <m:t>r</m:t>
                  </m:r>
                  <m:r>
                    <m:t>g</m:t>
                  </m:r>
                  <m:r>
                    <m:t>u</m:t>
                  </m:r>
                  <m:r>
                    <m:t>m</m:t>
                  </m:r>
                  <m:r>
                    <m:t>e</m:t>
                  </m:r>
                  <m:r>
                    <m:t>n</m:t>
                  </m:r>
                  <m:r>
                    <m:t>t</m:t>
                  </m:r>
                  <m:r>
                    <m:t>s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q</m:t>
                  </m:r>
                  <m:r>
                    <m:t>u</m:t>
                  </m:r>
                  <m:r>
                    <m:t>i</m:t>
                  </m:r>
                  <m:r>
                    <m:t>r</m:t>
                  </m:r>
                  <m:r>
                    <m:t>e</m:t>
                  </m:r>
                  <m:r>
                    <m:t>d</m:t>
                  </m:r>
                  <m:r>
                    <m:t> </m:t>
                  </m:r>
                  <m:r>
                    <m:t>a</m:t>
                  </m:r>
                  <m:r>
                    <m:t>r</m:t>
                  </m:r>
                  <m:r>
                    <m:t>g</m:t>
                  </m:r>
                  <m:r>
                    <m:t>u</m:t>
                  </m:r>
                  <m:r>
                    <m:t>m</m:t>
                  </m:r>
                  <m:r>
                    <m:t>e</m:t>
                  </m:r>
                  <m:r>
                    <m:t>n</m:t>
                  </m:r>
                  <m:r>
                    <m:t>t</m:t>
                  </m:r>
                  <m:r>
                    <m:t>s</m:t>
                  </m:r>
                </m:sub>
              </m:sSub>
            </m:den>
          </m:f>
        </m:oMath>
      </m:oMathPara>
    </w:p>
    <w:p>
      <w:pPr>
        <w:pStyle w:val="FirstParagraph"/>
        <w:keepLines/>
        <w:spacing w:before="60" w:after="6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w</m:t>
              </m:r>
              <m:r>
                <m:t>o</m:t>
              </m:r>
              <m:r>
                <m:t>r</m:t>
              </m:r>
              <m:r>
                <m:t>k</m:t>
              </m:r>
              <m:r>
                <m:t>f</m:t>
              </m:r>
              <m:r>
                <m:t>l</m:t>
              </m:r>
              <m:r>
                <m:t>o</m:t>
              </m:r>
              <m:r>
                <m:t>w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c</m:t>
                  </m:r>
                  <m:r>
                    <m:t>o</m:t>
                  </m:r>
                  <m:r>
                    <m:t>m</m:t>
                  </m:r>
                  <m:r>
                    <m:t>p</m:t>
                  </m:r>
                  <m:r>
                    <m:t>l</m:t>
                  </m:r>
                  <m:r>
                    <m:t>e</m:t>
                  </m:r>
                  <m:r>
                    <m:t>t</m:t>
                  </m:r>
                  <m:r>
                    <m:t>e</m:t>
                  </m:r>
                  <m:r>
                    <m:t>d</m:t>
                  </m:r>
                  <m:r>
                    <m:t> </m:t>
                  </m:r>
                  <m:r>
                    <m:t>w</m:t>
                  </m:r>
                  <m:r>
                    <m:t>o</m:t>
                  </m:r>
                  <m:r>
                    <m:t>r</m:t>
                  </m:r>
                  <m:r>
                    <m:t>k</m:t>
                  </m:r>
                  <m:r>
                    <m:t>f</m:t>
                  </m:r>
                  <m:r>
                    <m:t>l</m:t>
                  </m:r>
                  <m:r>
                    <m:t>o</m:t>
                  </m:r>
                  <m:r>
                    <m:t>w</m:t>
                  </m:r>
                  <m:r>
                    <m:t>s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w</m:t>
                  </m:r>
                  <m:r>
                    <m:t>o</m:t>
                  </m:r>
                  <m:r>
                    <m:t>r</m:t>
                  </m:r>
                  <m:r>
                    <m:t>k</m:t>
                  </m:r>
                  <m:r>
                    <m:t>f</m:t>
                  </m:r>
                  <m:r>
                    <m:t>l</m:t>
                  </m:r>
                  <m:r>
                    <m:t>o</m:t>
                  </m:r>
                  <m:r>
                    <m:t>w</m:t>
                  </m:r>
                  <m:r>
                    <m:t> </m:t>
                  </m:r>
                  <m:r>
                    <m:t>t</m:t>
                  </m:r>
                  <m:r>
                    <m:t>a</m:t>
                  </m:r>
                  <m:r>
                    <m:t>s</m:t>
                  </m:r>
                  <m:r>
                    <m:t>k</m:t>
                  </m:r>
                  <m:r>
                    <m:t>s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ascii="Times New Roman" w:hAnsi="Times New Roman" w:eastAsia="宋体" w:cs="Times New Roman"/>
          <w:sz w:val="21"/>
        </w:rPr>
        <w:t xml:space="preserve">尺寸测量结果采用0.05 mm容差，角度采用0.1°容差，布尔型质量检查要求完全一致。</w:t>
      </w:r>
    </w:p>
    <w:bookmarkEnd w:id="45"/>
    <w:bookmarkStart w:id="46" w:name="s6.5-统计方法"/>
    <w:p>
      <w:pPr>
        <w:pStyle w:val="Heading2"/>
        <w:keepNext/>
        <w:keepLines/>
        <w:ind w:firstLine="0"/>
        <w:jc w:val="left"/>
      </w:pPr>
      <w:r>
        <w:rPr>
          <w:rFonts w:ascii="Times New Roman" w:hAnsi="Times New Roman" w:eastAsia="黑体" w:cs="Times New Roman"/>
          <w:b/>
          <w:sz w:val="24"/>
        </w:rPr>
        <w:t xml:space="preserve">S6.5 统计方法</w:t>
      </w:r>
    </w:p>
    <w:p>
      <w:pPr>
        <w:pStyle w:val="FirstParagraph"/>
      </w:pPr>
      <w:r>
        <w:rPr>
          <w:rFonts w:ascii="Times New Roman" w:hAnsi="Times New Roman" w:eastAsia="宋体" w:cs="Times New Roman"/>
          <w:sz w:val="21"/>
        </w:rPr>
        <w:t xml:space="preserve">比例指标以任务为聚类单元进行10 000次bootstrap，报告均值和95%置信区间。Pass@1、FinalSuccess@3和STEP通过率等二元结果采用广义线性混合效应模型：</w:t>
      </w:r>
    </w:p>
    <w:p>
      <w:pPr>
        <w:pStyle w:val="BodyText"/>
        <w:keepLines/>
        <w:spacing w:before="60" w:after="60"/>
        <w:ind w:firstLine="0"/>
        <w:jc w:val="center"/>
      </w:pPr>
      <m:oMathPara>
        <m:oMathParaPr>
          <m:jc m:val="center"/>
        </m:oMathParaPr>
        <m:oMath>
          <m:r>
            <m:t>l</m:t>
          </m:r>
          <m:r>
            <m:t>o</m:t>
          </m:r>
          <m:r>
            <m:t>g</m:t>
          </m:r>
          <m:r>
            <m:t>i</m:t>
          </m:r>
          <m:r>
            <m:t>t</m:t>
          </m:r>
          <m:d>
            <m:dPr>
              <m:begChr m:val="["/>
              <m:endChr m:val="]"/>
              <m:sepChr m:val=""/>
              <m:grow/>
            </m:dPr>
            <m:e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M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  <w:keepLines/>
        <w:spacing w:before="60" w:after="60"/>
        <w:ind w:firstLine="0"/>
        <w:jc w:val="center"/>
      </w:pPr>
      <w:r>
        <w:t xml:space="preserve">其中</w:t>
      </w:r>
      <m:oMath>
        <m:sSub>
          <m:e>
            <m:r>
              <m:t>M</m:t>
            </m:r>
          </m:e>
          <m:sub>
            <m:r>
              <m:t>i</m:t>
            </m:r>
          </m:sub>
        </m:sSub>
      </m:oMath>
      <w:r>
        <w:t xml:space="preserve">为方法，</w:t>
      </w:r>
      <m:oMath>
        <m:sSub>
          <m:e>
            <m:r>
              <m:t>L</m:t>
            </m:r>
          </m:e>
          <m:sub>
            <m:r>
              <m:t>j</m:t>
            </m:r>
          </m:sub>
        </m:sSub>
      </m:oMath>
      <w:r>
        <w:t xml:space="preserve">为难度等级，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为任务随机效应。连续指标在任务层面对10次运行取中位数，再采用配对Wilcoxon符号秩检验；多重比较使用Holm-Bonferroni校正。二元指标同时报告优势比，连续指标报告Cliff’s delta效应量，显著性水平为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。</w:t>
      </w:r>
    </w:p>
    <w:bookmarkEnd w:id="46"/>
    <w:bookmarkEnd w:id="47"/>
    <w:bookmarkStart w:id="55" w:name="s7-扩展结果"/>
    <w:p>
      <w:pPr>
        <w:pStyle w:val="Heading1"/>
        <w:keepNext/>
        <w:keepLines/>
        <w:ind w:firstLine="0"/>
        <w:jc w:val="left"/>
      </w:pPr>
      <w:r>
        <w:rPr>
          <w:rFonts w:ascii="Times New Roman" w:hAnsi="Times New Roman" w:eastAsia="黑体" w:cs="Times New Roman"/>
          <w:b/>
          <w:sz w:val="28"/>
        </w:rPr>
        <w:t xml:space="preserve">S7 扩展结果</w:t>
      </w:r>
    </w:p>
    <w:bookmarkStart w:id="48" w:name="s7.1-主要几何误差"/>
    <w:p>
      <w:pPr>
        <w:pStyle w:val="Heading2"/>
        <w:keepNext/>
        <w:keepLines/>
        <w:ind w:firstLine="0"/>
        <w:jc w:val="left"/>
      </w:pPr>
      <w:r>
        <w:rPr>
          <w:rFonts w:ascii="Times New Roman" w:hAnsi="Times New Roman" w:eastAsia="黑体" w:cs="Times New Roman"/>
          <w:b/>
          <w:sz w:val="24"/>
        </w:rPr>
        <w:t xml:space="preserve">S7.1 主要几何误差</w:t>
      </w:r>
    </w:p>
    <w:p>
      <w:pPr>
        <w:pStyle w:val="Caption"/>
        <w:keepNext/>
        <w:spacing w:line="240" w:lineRule="auto" w:before="60" w:after="100"/>
        <w:ind w:firstLine="0"/>
        <w:jc w:val="center"/>
      </w:pPr>
      <w:r>
        <w:rPr>
          <w:rFonts w:ascii="Times New Roman" w:hAnsi="Times New Roman" w:eastAsia="宋体" w:cs="Times New Roman"/>
          <w:b/>
          <w:bCs/>
          <w:sz w:val="18"/>
        </w:rPr>
        <w:t xml:space="preserve">表S10 生成涡轮盘的主要几何误差</w:t>
      </w:r>
    </w:p>
    <w:tbl>
      <w:tblPr>
        <w:tblStyle w:val="TableGrid"/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3213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几何参数</w:t>
            </w:r>
          </w:p>
        </w:tc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平均绝对误差</w:t>
            </w:r>
          </w:p>
        </w:tc>
        <w:tc>
          <w:tcPr>
            <w:tcW w:type="dxa" w:w="20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95%分位误差</w:t>
            </w:r>
          </w:p>
        </w:tc>
        <w:tc>
          <w:tcPr>
            <w:tcW w:type="dxa" w:w="151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最大误差</w:t>
            </w:r>
          </w:p>
        </w:tc>
      </w:tr>
      <w:tr>
        <w:tc>
          <w:tcPr>
            <w:tcW w:type="dxa" w:w="3213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盘体外径/mm</w:t>
            </w:r>
          </w:p>
        </w:tc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0.07</w:t>
            </w:r>
          </w:p>
        </w:tc>
        <w:tc>
          <w:tcPr>
            <w:tcW w:type="dxa" w:w="20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0.18</w:t>
            </w:r>
          </w:p>
        </w:tc>
        <w:tc>
          <w:tcPr>
            <w:tcW w:type="dxa" w:w="151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0.42</w:t>
            </w:r>
          </w:p>
        </w:tc>
      </w:tr>
      <w:tr>
        <w:tc>
          <w:tcPr>
            <w:tcW w:type="dxa" w:w="3213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中心孔直径/mm</w:t>
            </w:r>
          </w:p>
        </w:tc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0.04</w:t>
            </w:r>
          </w:p>
        </w:tc>
        <w:tc>
          <w:tcPr>
            <w:tcW w:type="dxa" w:w="20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0.11</w:t>
            </w:r>
          </w:p>
        </w:tc>
        <w:tc>
          <w:tcPr>
            <w:tcW w:type="dxa" w:w="151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0.25</w:t>
            </w:r>
          </w:p>
        </w:tc>
      </w:tr>
      <w:tr>
        <w:tc>
          <w:tcPr>
            <w:tcW w:type="dxa" w:w="3213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轴向最大厚度/mm</w:t>
            </w:r>
          </w:p>
        </w:tc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0.05</w:t>
            </w:r>
          </w:p>
        </w:tc>
        <w:tc>
          <w:tcPr>
            <w:tcW w:type="dxa" w:w="20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0.14</w:t>
            </w:r>
          </w:p>
        </w:tc>
        <w:tc>
          <w:tcPr>
            <w:tcW w:type="dxa" w:w="151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0.31</w:t>
            </w:r>
          </w:p>
        </w:tc>
      </w:tr>
      <w:tr>
        <w:tc>
          <w:tcPr>
            <w:tcW w:type="dxa" w:w="3213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孔阵列分布半径/mm</w:t>
            </w:r>
          </w:p>
        </w:tc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0.08</w:t>
            </w:r>
          </w:p>
        </w:tc>
        <w:tc>
          <w:tcPr>
            <w:tcW w:type="dxa" w:w="20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0.20</w:t>
            </w:r>
          </w:p>
        </w:tc>
        <w:tc>
          <w:tcPr>
            <w:tcW w:type="dxa" w:w="151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0.47</w:t>
            </w:r>
          </w:p>
        </w:tc>
      </w:tr>
      <w:tr>
        <w:tc>
          <w:tcPr>
            <w:tcW w:type="dxa" w:w="3213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环槽宽度/mm</w:t>
            </w:r>
          </w:p>
        </w:tc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0.06</w:t>
            </w:r>
          </w:p>
        </w:tc>
        <w:tc>
          <w:tcPr>
            <w:tcW w:type="dxa" w:w="20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0.17</w:t>
            </w:r>
          </w:p>
        </w:tc>
        <w:tc>
          <w:tcPr>
            <w:tcW w:type="dxa" w:w="151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0.39</w:t>
            </w:r>
          </w:p>
        </w:tc>
      </w:tr>
      <w:tr>
        <w:tc>
          <w:tcPr>
            <w:tcW w:type="dxa" w:w="3213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环槽深度/mm</w:t>
            </w:r>
          </w:p>
        </w:tc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0.05</w:t>
            </w:r>
          </w:p>
        </w:tc>
        <w:tc>
          <w:tcPr>
            <w:tcW w:type="dxa" w:w="20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0.15</w:t>
            </w:r>
          </w:p>
        </w:tc>
        <w:tc>
          <w:tcPr>
            <w:tcW w:type="dxa" w:w="151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0.33</w:t>
            </w:r>
          </w:p>
        </w:tc>
      </w:tr>
      <w:tr>
        <w:tc>
          <w:tcPr>
            <w:tcW w:type="dxa" w:w="3213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榫槽喉部宽度/mm</w:t>
            </w:r>
          </w:p>
        </w:tc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0.06</w:t>
            </w:r>
          </w:p>
        </w:tc>
        <w:tc>
          <w:tcPr>
            <w:tcW w:type="dxa" w:w="20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0.16</w:t>
            </w:r>
          </w:p>
        </w:tc>
        <w:tc>
          <w:tcPr>
            <w:tcW w:type="dxa" w:w="151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0.38</w:t>
            </w:r>
          </w:p>
        </w:tc>
      </w:tr>
      <w:tr>
        <w:tc>
          <w:tcPr>
            <w:tcW w:type="dxa" w:w="3213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榫槽总深度/mm</w:t>
            </w:r>
          </w:p>
        </w:tc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0.09</w:t>
            </w:r>
          </w:p>
        </w:tc>
        <w:tc>
          <w:tcPr>
            <w:tcW w:type="dxa" w:w="20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0.23</w:t>
            </w:r>
          </w:p>
        </w:tc>
        <w:tc>
          <w:tcPr>
            <w:tcW w:type="dxa" w:w="151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0.51</w:t>
            </w:r>
          </w:p>
        </w:tc>
      </w:tr>
      <w:tr>
        <w:tc>
          <w:tcPr>
            <w:tcW w:type="dxa" w:w="3213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榫槽齿面角/(°)</w:t>
            </w:r>
          </w:p>
        </w:tc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0.18</w:t>
            </w:r>
          </w:p>
        </w:tc>
        <w:tc>
          <w:tcPr>
            <w:tcW w:type="dxa" w:w="20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0.46</w:t>
            </w:r>
          </w:p>
        </w:tc>
        <w:tc>
          <w:tcPr>
            <w:tcW w:type="dxa" w:w="151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0.92</w:t>
            </w:r>
          </w:p>
        </w:tc>
      </w:tr>
      <w:tr>
        <w:tc>
          <w:tcPr>
            <w:tcW w:type="dxa" w:w="3213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齿根圆角半径/mm</w:t>
            </w:r>
          </w:p>
        </w:tc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0.04</w:t>
            </w:r>
          </w:p>
        </w:tc>
        <w:tc>
          <w:tcPr>
            <w:tcW w:type="dxa" w:w="20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0.12</w:t>
            </w:r>
          </w:p>
        </w:tc>
        <w:tc>
          <w:tcPr>
            <w:tcW w:type="dxa" w:w="151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0.29</w:t>
            </w:r>
          </w:p>
        </w:tc>
      </w:tr>
    </w:tbl>
    <w:bookmarkEnd w:id="48"/>
    <w:bookmarkStart w:id="49" w:name="s7.2-参数再生"/>
    <w:p>
      <w:pPr>
        <w:pStyle w:val="Heading2"/>
        <w:keepNext/>
        <w:keepLines/>
        <w:ind w:firstLine="0"/>
        <w:jc w:val="left"/>
      </w:pPr>
      <w:r>
        <w:rPr>
          <w:rFonts w:ascii="Times New Roman" w:hAnsi="Times New Roman" w:eastAsia="黑体" w:cs="Times New Roman"/>
          <w:b/>
          <w:sz w:val="24"/>
        </w:rPr>
        <w:t xml:space="preserve">S7.2 参数再生</w:t>
      </w:r>
    </w:p>
    <w:p>
      <w:pPr>
        <w:pStyle w:val="Caption"/>
        <w:keepNext/>
        <w:spacing w:line="240" w:lineRule="auto" w:before="60" w:after="100"/>
        <w:ind w:firstLine="0"/>
        <w:jc w:val="center"/>
      </w:pPr>
      <w:r>
        <w:rPr>
          <w:rFonts w:ascii="Times New Roman" w:hAnsi="Times New Roman" w:eastAsia="宋体" w:cs="Times New Roman"/>
          <w:b/>
          <w:bCs/>
          <w:sz w:val="18"/>
        </w:rPr>
        <w:t xml:space="preserve">表S11 参数化模型再生结果</w:t>
      </w:r>
    </w:p>
    <w:tbl>
      <w:tblPr>
        <w:tblStyle w:val="TableGrid"/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342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参数修改类型</w:t>
            </w:r>
          </w:p>
        </w:tc>
        <w:tc>
          <w:tcPr>
            <w:tcW w:type="dxa" w:w="120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样本数</w:t>
            </w:r>
          </w:p>
        </w:tc>
        <w:tc>
          <w:tcPr>
            <w:tcW w:type="dxa" w:w="201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再生成功数</w:t>
            </w:r>
          </w:p>
        </w:tc>
        <w:tc>
          <w:tcPr>
            <w:tcW w:type="dxa" w:w="241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再生成功率/%</w:t>
            </w:r>
          </w:p>
        </w:tc>
      </w:tr>
      <w:tr>
        <w:tc>
          <w:tcPr>
            <w:tcW w:type="dxa" w:w="342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单参数修改</w:t>
            </w:r>
          </w:p>
        </w:tc>
        <w:tc>
          <w:tcPr>
            <w:tcW w:type="dxa" w:w="120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320</w:t>
            </w:r>
          </w:p>
        </w:tc>
        <w:tc>
          <w:tcPr>
            <w:tcW w:type="dxa" w:w="201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314</w:t>
            </w:r>
          </w:p>
        </w:tc>
        <w:tc>
          <w:tcPr>
            <w:tcW w:type="dxa" w:w="241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98.1</w:t>
            </w:r>
          </w:p>
        </w:tc>
      </w:tr>
      <w:tr>
        <w:tc>
          <w:tcPr>
            <w:tcW w:type="dxa" w:w="342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双参数联合修改</w:t>
            </w:r>
          </w:p>
        </w:tc>
        <w:tc>
          <w:tcPr>
            <w:tcW w:type="dxa" w:w="120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240</w:t>
            </w:r>
          </w:p>
        </w:tc>
        <w:tc>
          <w:tcPr>
            <w:tcW w:type="dxa" w:w="201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232</w:t>
            </w:r>
          </w:p>
        </w:tc>
        <w:tc>
          <w:tcPr>
            <w:tcW w:type="dxa" w:w="241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96.7</w:t>
            </w:r>
          </w:p>
        </w:tc>
      </w:tr>
      <w:tr>
        <w:tc>
          <w:tcPr>
            <w:tcW w:type="dxa" w:w="342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3-5个参数联合修改</w:t>
            </w:r>
          </w:p>
        </w:tc>
        <w:tc>
          <w:tcPr>
            <w:tcW w:type="dxa" w:w="120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160</w:t>
            </w:r>
          </w:p>
        </w:tc>
        <w:tc>
          <w:tcPr>
            <w:tcW w:type="dxa" w:w="201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150</w:t>
            </w:r>
          </w:p>
        </w:tc>
        <w:tc>
          <w:tcPr>
            <w:tcW w:type="dxa" w:w="241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93.8</w:t>
            </w:r>
          </w:p>
        </w:tc>
      </w:tr>
      <w:tr>
        <w:tc>
          <w:tcPr>
            <w:tcW w:type="dxa" w:w="342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跨特征耦合修改</w:t>
            </w:r>
          </w:p>
        </w:tc>
        <w:tc>
          <w:tcPr>
            <w:tcW w:type="dxa" w:w="120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80</w:t>
            </w:r>
          </w:p>
        </w:tc>
        <w:tc>
          <w:tcPr>
            <w:tcW w:type="dxa" w:w="201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70</w:t>
            </w:r>
          </w:p>
        </w:tc>
        <w:tc>
          <w:tcPr>
            <w:tcW w:type="dxa" w:w="241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87.5</w:t>
            </w:r>
          </w:p>
        </w:tc>
      </w:tr>
      <w:tr>
        <w:tc>
          <w:tcPr>
            <w:tcW w:type="dxa" w:w="342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合计</w:t>
            </w:r>
          </w:p>
        </w:tc>
        <w:tc>
          <w:tcPr>
            <w:tcW w:type="dxa" w:w="120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800</w:t>
            </w:r>
          </w:p>
        </w:tc>
        <w:tc>
          <w:tcPr>
            <w:tcW w:type="dxa" w:w="201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766</w:t>
            </w:r>
          </w:p>
        </w:tc>
        <w:tc>
          <w:tcPr>
            <w:tcW w:type="dxa" w:w="241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95.8</w:t>
            </w:r>
          </w:p>
        </w:tc>
      </w:tr>
    </w:tbl>
    <w:bookmarkEnd w:id="49"/>
    <w:bookmarkStart w:id="53" w:name="s7.3-错误定位与修复"/>
    <w:p>
      <w:pPr>
        <w:pStyle w:val="Heading2"/>
        <w:keepNext/>
        <w:keepLines/>
        <w:ind w:firstLine="0"/>
        <w:jc w:val="left"/>
      </w:pPr>
      <w:r>
        <w:rPr>
          <w:rFonts w:ascii="Times New Roman" w:hAnsi="Times New Roman" w:eastAsia="黑体" w:cs="Times New Roman"/>
          <w:b/>
          <w:sz w:val="24"/>
        </w:rPr>
        <w:t xml:space="preserve">S7.3 错误定位与修复</w:t>
      </w:r>
    </w:p>
    <w:p>
      <w:pPr>
        <w:pStyle w:val="Caption"/>
        <w:keepNext/>
        <w:spacing w:line="240" w:lineRule="auto" w:before="60" w:after="100"/>
        <w:ind w:firstLine="0"/>
        <w:jc w:val="center"/>
      </w:pPr>
      <w:r>
        <w:rPr>
          <w:rFonts w:ascii="Times New Roman" w:hAnsi="Times New Roman" w:eastAsia="宋体" w:cs="Times New Roman"/>
          <w:b/>
          <w:bCs/>
          <w:sz w:val="18"/>
        </w:rPr>
        <w:t xml:space="preserve">表S12 不同错误类型的定位和修复结果</w:t>
      </w:r>
    </w:p>
    <w:tbl>
      <w:tblPr>
        <w:tblStyle w:val="TableGrid"/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60"/>
        <w:gridCol w:w="1860"/>
        <w:gridCol w:w="1860"/>
        <w:gridCol w:w="1860"/>
        <w:gridCol w:w="1860"/>
      </w:tblGrid>
      <w:tr>
        <w:trPr>
          <w:tblHeader w:val="true"/>
        </w:trPr>
        <w:tc>
          <w:tcPr>
            <w:tcW w:type="dxa" w:w="2935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错误类型</w:t>
            </w:r>
          </w:p>
        </w:tc>
        <w:tc>
          <w:tcPr>
            <w:tcW w:type="dxa" w:w="80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错误数</w:t>
            </w:r>
          </w:p>
        </w:tc>
        <w:tc>
          <w:tcPr>
            <w:tcW w:type="dxa" w:w="160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定位准确率/%</w:t>
            </w:r>
          </w:p>
        </w:tc>
        <w:tc>
          <w:tcPr>
            <w:tcW w:type="dxa" w:w="213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自动修复成功率/%</w:t>
            </w:r>
          </w:p>
        </w:tc>
        <w:tc>
          <w:tcPr>
            <w:tcW w:type="dxa" w:w="160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平均修复轮数</w:t>
            </w:r>
          </w:p>
        </w:tc>
      </w:tr>
      <w:tr>
        <w:tc>
          <w:tcPr>
            <w:tcW w:type="dxa" w:w="2935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Schema字段缺失</w:t>
            </w:r>
          </w:p>
        </w:tc>
        <w:tc>
          <w:tcPr>
            <w:tcW w:type="dxa" w:w="80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38</w:t>
            </w:r>
          </w:p>
        </w:tc>
        <w:tc>
          <w:tcPr>
            <w:tcW w:type="dxa" w:w="160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100.0</w:t>
            </w:r>
          </w:p>
        </w:tc>
        <w:tc>
          <w:tcPr>
            <w:tcW w:type="dxa" w:w="213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97.4</w:t>
            </w:r>
          </w:p>
        </w:tc>
        <w:tc>
          <w:tcPr>
            <w:tcW w:type="dxa" w:w="160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1.03</w:t>
            </w:r>
          </w:p>
        </w:tc>
      </w:tr>
      <w:tr>
        <w:tc>
          <w:tcPr>
            <w:tcW w:type="dxa" w:w="2935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单位或参数类型错误</w:t>
            </w:r>
          </w:p>
        </w:tc>
        <w:tc>
          <w:tcPr>
            <w:tcW w:type="dxa" w:w="80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29</w:t>
            </w:r>
          </w:p>
        </w:tc>
        <w:tc>
          <w:tcPr>
            <w:tcW w:type="dxa" w:w="160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96.6</w:t>
            </w:r>
          </w:p>
        </w:tc>
        <w:tc>
          <w:tcPr>
            <w:tcW w:type="dxa" w:w="213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93.1</w:t>
            </w:r>
          </w:p>
        </w:tc>
        <w:tc>
          <w:tcPr>
            <w:tcW w:type="dxa" w:w="160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1.10</w:t>
            </w:r>
          </w:p>
        </w:tc>
      </w:tr>
      <w:tr>
        <w:tc>
          <w:tcPr>
            <w:tcW w:type="dxa" w:w="2935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节点引用错误</w:t>
            </w:r>
          </w:p>
        </w:tc>
        <w:tc>
          <w:tcPr>
            <w:tcW w:type="dxa" w:w="80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31</w:t>
            </w:r>
          </w:p>
        </w:tc>
        <w:tc>
          <w:tcPr>
            <w:tcW w:type="dxa" w:w="160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93.5</w:t>
            </w:r>
          </w:p>
        </w:tc>
        <w:tc>
          <w:tcPr>
            <w:tcW w:type="dxa" w:w="213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90.3</w:t>
            </w:r>
          </w:p>
        </w:tc>
        <w:tc>
          <w:tcPr>
            <w:tcW w:type="dxa" w:w="160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1.32</w:t>
            </w:r>
          </w:p>
        </w:tc>
      </w:tr>
      <w:tr>
        <w:tc>
          <w:tcPr>
            <w:tcW w:type="dxa" w:w="2935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特征依赖错误</w:t>
            </w:r>
          </w:p>
        </w:tc>
        <w:tc>
          <w:tcPr>
            <w:tcW w:type="dxa" w:w="80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27</w:t>
            </w:r>
          </w:p>
        </w:tc>
        <w:tc>
          <w:tcPr>
            <w:tcW w:type="dxa" w:w="160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92.6</w:t>
            </w:r>
          </w:p>
        </w:tc>
        <w:tc>
          <w:tcPr>
            <w:tcW w:type="dxa" w:w="213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85.2</w:t>
            </w:r>
          </w:p>
        </w:tc>
        <w:tc>
          <w:tcPr>
            <w:tcW w:type="dxa" w:w="160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1.67</w:t>
            </w:r>
          </w:p>
        </w:tc>
      </w:tr>
      <w:tr>
        <w:tc>
          <w:tcPr>
            <w:tcW w:type="dxa" w:w="2935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孔阵列与环槽几何错误</w:t>
            </w:r>
          </w:p>
        </w:tc>
        <w:tc>
          <w:tcPr>
            <w:tcW w:type="dxa" w:w="80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41</w:t>
            </w:r>
          </w:p>
        </w:tc>
        <w:tc>
          <w:tcPr>
            <w:tcW w:type="dxa" w:w="160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97.6</w:t>
            </w:r>
          </w:p>
        </w:tc>
        <w:tc>
          <w:tcPr>
            <w:tcW w:type="dxa" w:w="213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90.2</w:t>
            </w:r>
          </w:p>
        </w:tc>
        <w:tc>
          <w:tcPr>
            <w:tcW w:type="dxa" w:w="160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1.46</w:t>
            </w:r>
          </w:p>
        </w:tc>
      </w:tr>
      <w:tr>
        <w:tc>
          <w:tcPr>
            <w:tcW w:type="dxa" w:w="2935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榫槽轮廓或剩余材料错误</w:t>
            </w:r>
          </w:p>
        </w:tc>
        <w:tc>
          <w:tcPr>
            <w:tcW w:type="dxa" w:w="80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46</w:t>
            </w:r>
          </w:p>
        </w:tc>
        <w:tc>
          <w:tcPr>
            <w:tcW w:type="dxa" w:w="160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95.7</w:t>
            </w:r>
          </w:p>
        </w:tc>
        <w:tc>
          <w:tcPr>
            <w:tcW w:type="dxa" w:w="213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87.0</w:t>
            </w:r>
          </w:p>
        </w:tc>
        <w:tc>
          <w:tcPr>
            <w:tcW w:type="dxa" w:w="160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1.61</w:t>
            </w:r>
          </w:p>
        </w:tc>
      </w:tr>
      <w:tr>
        <w:tc>
          <w:tcPr>
            <w:tcW w:type="dxa" w:w="2935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布尔运算与CAD内核错误</w:t>
            </w:r>
          </w:p>
        </w:tc>
        <w:tc>
          <w:tcPr>
            <w:tcW w:type="dxa" w:w="80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33</w:t>
            </w:r>
          </w:p>
        </w:tc>
        <w:tc>
          <w:tcPr>
            <w:tcW w:type="dxa" w:w="160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84.8</w:t>
            </w:r>
          </w:p>
        </w:tc>
        <w:tc>
          <w:tcPr>
            <w:tcW w:type="dxa" w:w="213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75.8</w:t>
            </w:r>
          </w:p>
        </w:tc>
        <w:tc>
          <w:tcPr>
            <w:tcW w:type="dxa" w:w="160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2.15</w:t>
            </w:r>
          </w:p>
        </w:tc>
      </w:tr>
      <w:tr>
        <w:tc>
          <w:tcPr>
            <w:tcW w:type="dxa" w:w="2935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STEP导出-回读错误</w:t>
            </w:r>
          </w:p>
        </w:tc>
        <w:tc>
          <w:tcPr>
            <w:tcW w:type="dxa" w:w="80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14</w:t>
            </w:r>
          </w:p>
        </w:tc>
        <w:tc>
          <w:tcPr>
            <w:tcW w:type="dxa" w:w="160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92.9</w:t>
            </w:r>
          </w:p>
        </w:tc>
        <w:tc>
          <w:tcPr>
            <w:tcW w:type="dxa" w:w="213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85.7</w:t>
            </w:r>
          </w:p>
        </w:tc>
        <w:tc>
          <w:tcPr>
            <w:tcW w:type="dxa" w:w="160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1.43</w:t>
            </w:r>
          </w:p>
        </w:tc>
      </w:tr>
      <w:tr>
        <w:tc>
          <w:tcPr>
            <w:tcW w:type="dxa" w:w="2935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总体</w:t>
            </w:r>
          </w:p>
        </w:tc>
        <w:tc>
          <w:tcPr>
            <w:tcW w:type="dxa" w:w="80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259</w:t>
            </w:r>
          </w:p>
        </w:tc>
        <w:tc>
          <w:tcPr>
            <w:tcW w:type="dxa" w:w="160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94.6</w:t>
            </w:r>
          </w:p>
        </w:tc>
        <w:tc>
          <w:tcPr>
            <w:tcW w:type="dxa" w:w="213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88.4</w:t>
            </w:r>
          </w:p>
        </w:tc>
        <w:tc>
          <w:tcPr>
            <w:tcW w:type="dxa" w:w="160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1.51</w:t>
            </w:r>
          </w:p>
        </w:tc>
      </w:tr>
    </w:tbl>
    <w:p>
      <w:pPr>
        <w:pStyle w:val="CaptionedFigure"/>
        <w:keepNext/>
        <w:spacing w:before="120" w:after="0"/>
        <w:ind w:firstLine="0"/>
        <w:jc w:val="center"/>
      </w:pPr>
      <w:r>
        <w:drawing>
          <wp:inline>
            <wp:extent cx="5471999" cy="2807148"/>
            <wp:effectExtent b="0" l="0" r="0" t="0"/>
            <wp:docPr descr="图S3 自动纠错错误分布及MCP质量检查效果" title="" id="51" name="Picture"/>
            <a:graphic>
              <a:graphicData uri="http://schemas.openxmlformats.org/drawingml/2006/picture">
                <pic:pic>
                  <pic:nvPicPr>
                    <pic:cNvPr descr="/mnt/data/figures_clean/figure11_clean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999" cy="2807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60" w:after="100"/>
        <w:ind w:firstLine="0"/>
        <w:jc w:val="center"/>
      </w:pPr>
      <w:r>
        <w:rPr>
          <w:rFonts w:ascii="Times New Roman" w:hAnsi="Times New Roman" w:eastAsia="宋体" w:cs="Times New Roman"/>
          <w:b w:val="0"/>
          <w:sz w:val="18"/>
        </w:rPr>
        <w:t xml:space="preserve">图S3 自动纠错错误分布及MCP质量检查效果</w:t>
      </w:r>
    </w:p>
    <w:bookmarkEnd w:id="53"/>
    <w:bookmarkStart w:id="54" w:name="s7.4-最终失败模式"/>
    <w:p>
      <w:pPr>
        <w:pStyle w:val="Heading2"/>
        <w:keepNext/>
        <w:keepLines/>
        <w:ind w:firstLine="0"/>
        <w:jc w:val="left"/>
      </w:pPr>
      <w:r>
        <w:rPr>
          <w:rFonts w:ascii="Times New Roman" w:hAnsi="Times New Roman" w:eastAsia="黑体" w:cs="Times New Roman"/>
          <w:b/>
          <w:sz w:val="24"/>
        </w:rPr>
        <w:t xml:space="preserve">S7.4 最终失败模式</w:t>
      </w:r>
    </w:p>
    <w:p>
      <w:pPr>
        <w:pStyle w:val="Caption"/>
        <w:keepNext/>
        <w:spacing w:line="240" w:lineRule="auto" w:before="60" w:after="100"/>
        <w:ind w:firstLine="0"/>
        <w:jc w:val="center"/>
      </w:pPr>
      <w:r>
        <w:rPr>
          <w:rFonts w:ascii="Times New Roman" w:hAnsi="Times New Roman" w:eastAsia="宋体" w:cs="Times New Roman"/>
          <w:b/>
          <w:bCs/>
          <w:sz w:val="18"/>
        </w:rPr>
        <w:t xml:space="preserve">表S13 完整框架最终失败模式</w:t>
      </w:r>
    </w:p>
    <w:tbl>
      <w:tblPr>
        <w:tblStyle w:val="TableGrid"/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415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失败类型</w:t>
            </w:r>
          </w:p>
        </w:tc>
        <w:tc>
          <w:tcPr>
            <w:tcW w:type="dxa" w:w="75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数量</w:t>
            </w:r>
          </w:p>
        </w:tc>
        <w:tc>
          <w:tcPr>
            <w:tcW w:type="dxa" w:w="415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典型表现</w:t>
            </w:r>
          </w:p>
        </w:tc>
      </w:tr>
      <w:tr>
        <w:tc>
          <w:tcPr>
            <w:tcW w:type="dxa" w:w="415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复杂榫槽阵列布尔不稳定</w:t>
            </w:r>
          </w:p>
        </w:tc>
        <w:tc>
          <w:tcPr>
            <w:tcW w:type="dxa" w:w="75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</w:t>
            </w:r>
          </w:p>
        </w:tc>
        <w:tc>
          <w:tcPr>
            <w:tcW w:type="dxa" w:w="415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局部相切、短边或批量布尔失败</w:t>
            </w:r>
          </w:p>
        </w:tc>
      </w:tr>
      <w:tr>
        <w:tc>
          <w:tcPr>
            <w:tcW w:type="dxa" w:w="415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多特征耦合约束未收敛</w:t>
            </w:r>
          </w:p>
        </w:tc>
        <w:tc>
          <w:tcPr>
            <w:tcW w:type="dxa" w:w="75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</w:t>
            </w:r>
          </w:p>
        </w:tc>
        <w:tc>
          <w:tcPr>
            <w:tcW w:type="dxa" w:w="415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榫槽、环槽和孔阵列同时调整后反复冲突</w:t>
            </w:r>
          </w:p>
        </w:tc>
      </w:tr>
      <w:tr>
        <w:tc>
          <w:tcPr>
            <w:tcW w:type="dxa" w:w="415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Corrector修复路径震荡</w:t>
            </w:r>
          </w:p>
        </w:tc>
        <w:tc>
          <w:tcPr>
            <w:tcW w:type="dxa" w:w="75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415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两种局部修复方案交替出现</w:t>
            </w:r>
          </w:p>
        </w:tc>
      </w:tr>
      <w:tr>
        <w:tc>
          <w:tcPr>
            <w:tcW w:type="dxa" w:w="415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自然语言歧义未充分消除</w:t>
            </w:r>
          </w:p>
        </w:tc>
        <w:tc>
          <w:tcPr>
            <w:tcW w:type="dxa" w:w="75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type="dxa" w:w="415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硬约束与软偏好边界不明确</w:t>
            </w:r>
          </w:p>
        </w:tc>
      </w:tr>
      <w:tr>
        <w:tc>
          <w:tcPr>
            <w:tcW w:type="dxa" w:w="415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STEP回读拓扑异常</w:t>
            </w:r>
          </w:p>
        </w:tc>
        <w:tc>
          <w:tcPr>
            <w:tcW w:type="dxa" w:w="75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type="dxa" w:w="415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原生实体有效，但中性格式回读失败</w:t>
            </w:r>
          </w:p>
        </w:tc>
      </w:tr>
      <w:tr>
        <w:tc>
          <w:tcPr>
            <w:tcW w:type="dxa" w:w="415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合计</w:t>
            </w:r>
          </w:p>
        </w:tc>
        <w:tc>
          <w:tcPr>
            <w:tcW w:type="dxa" w:w="75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19</w:t>
            </w:r>
          </w:p>
        </w:tc>
        <w:tc>
          <w:tcPr>
            <w:tcW w:type="dxa" w:w="415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-</w:t>
            </w:r>
          </w:p>
        </w:tc>
      </w:tr>
    </w:tbl>
    <w:bookmarkEnd w:id="54"/>
    <w:bookmarkEnd w:id="55"/>
    <w:sectPr w:rsidR="00FC693F" w:rsidRPr="0006063C" w:rsidSect="00034616">
      <w:footerReference r:id="rId9" w:type="default"/>
      <w:pgSz w:h="16838" w:w="11906"/>
      <w:pgMar w:bottom="1134" w:footer="567" w:gutter="0" w:header="567" w:left="1304" w:right="1304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0" w:line="300" w:lineRule="auto"/>
      <w:ind w:firstLine="420"/>
      <w:jc w:val="both"/>
    </w:pPr>
    <w:rPr>
      <w:rFonts w:ascii="Times New Roman" w:cs="Times New Roman" w:eastAsia="宋体" w:hAnsi="Times New Roman"/>
      <w:b w:val="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00" w:before="200"/>
      <w:ind w:firstLine="0"/>
      <w:outlineLvl w:val="0"/>
    </w:pPr>
    <w:rPr>
      <w:rFonts w:ascii="Times New Roman" w:asciiTheme="majorHAnsi" w:cs="Times New Roman" w:cstheme="majorBidi" w:eastAsia="黑体" w:eastAsiaTheme="majorEastAsia" w:hAnsi="Times New Roman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140"/>
      <w:ind w:firstLine="0"/>
      <w:outlineLvl w:val="1"/>
    </w:pPr>
    <w:rPr>
      <w:rFonts w:ascii="Times New Roman" w:asciiTheme="majorHAnsi" w:cs="Times New Roman" w:cstheme="majorBidi" w:eastAsia="黑体" w:eastAsiaTheme="majorEastAsia" w:hAnsi="Times New Roman" w:hAnsiTheme="majorHAnsi"/>
      <w:b/>
      <w:bCs/>
      <w:color w:themeColor="accent1" w:val="4F81BD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00" w:before="140"/>
      <w:ind w:firstLine="0"/>
      <w:outlineLvl w:val="2"/>
    </w:pPr>
    <w:rPr>
      <w:rFonts w:ascii="Times New Roman" w:asciiTheme="majorHAnsi" w:cs="Times New Roman" w:cstheme="majorBidi" w:eastAsia="黑体" w:eastAsiaTheme="majorEastAsia" w:hAnsi="Times New Roman" w:hAnsiTheme="majorHAnsi"/>
      <w:b/>
      <w:bCs/>
      <w:color w:themeColor="accent1" w:val="4F81BD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240" w:before="0" w:line="240" w:lineRule="auto"/>
      <w:ind w:firstLine="0"/>
      <w:contextualSpacing/>
      <w:jc w:val="center"/>
    </w:pPr>
    <w:rPr>
      <w:rFonts w:ascii="Times New Roman" w:asciiTheme="majorHAnsi" w:cs="Times New Roman" w:cstheme="majorBidi" w:eastAsia="黑体" w:eastAsiaTheme="majorEastAsia" w:hAnsi="Times New Roman" w:hAnsiTheme="majorHAnsi"/>
      <w:b/>
      <w:color w:themeColor="text2" w:themeShade="BF" w:val="17365D"/>
      <w:spacing w:val="5"/>
      <w:kern w:val="28"/>
      <w:sz w:val="3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spacing w:after="40" w:line="240" w:lineRule="auto"/>
      <w:ind w:firstLine="0" w:left="720"/>
      <w:contextualSpacing/>
    </w:pPr>
    <w:rPr>
      <w:rFonts w:ascii="Times New Roman" w:cs="Times New Roman" w:eastAsia="宋体" w:hAnsi="Times New Roman"/>
      <w:b w:val="0"/>
      <w:sz w:val="19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0" w:line="300" w:lineRule="auto"/>
      <w:ind w:firstLine="420"/>
      <w:jc w:val="both"/>
    </w:pPr>
    <w:rPr>
      <w:rFonts w:ascii="Times New Roman" w:hAnsi="Times New Roman" w:eastAsia="宋体"/>
      <w:sz w:val="21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60" w:before="60"/>
      <w:ind w:firstLine="0"/>
      <w:jc w:val="center"/>
    </w:pPr>
    <w:rPr>
      <w:rFonts w:ascii="Cambria Math" w:cs="Cambria Math" w:eastAsia="宋体" w:hAnsi="Cambria Math"/>
      <w:b w:val="0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20" w:before="80" w:line="240" w:lineRule="auto"/>
      <w:ind w:firstLine="0"/>
      <w:jc w:val="center"/>
    </w:pPr>
    <w:rPr>
      <w:rFonts w:ascii="Times New Roman" w:cs="Times New Roman" w:eastAsia="宋体" w:hAnsi="Times New Roman"/>
      <w:b w:val="0"/>
      <w:bCs/>
      <w:i w:val="0"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50" Type="http://schemas.openxmlformats.org/officeDocument/2006/relationships/image" Target="media/rId50.png"/><Relationship Id="rId29" Type="http://schemas.openxmlformats.org/officeDocument/2006/relationships/image" Target="media/rId29.png"/><Relationship Id="rId36" Type="http://schemas.openxmlformats.org/officeDocument/2006/relationships/image" Target="media/rId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补充材料：面向航空发动机涡轮盘的自然语言参数化CAD建模</dc:title>
  <dc:creator/>
  <cp:keywords/>
  <dcterms:created xsi:type="dcterms:W3CDTF">2026-07-26T17:08:06Z</dcterms:created>
  <dcterms:modified xsi:type="dcterms:W3CDTF">2026-07-26T17:08:06Z</dcterms:modified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