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6"/>
          <w:szCs w:val="36"/>
        </w:rPr>
        <w:t xml:space="preserve">新能源微电网优化调度关键技术研究</w:t>
      </w:r>
    </w:p>
    <w:p>
      <w:pPr>
        <w:spacing w:after="240" w:before="240"/>
        <w:jc w:val="center"/>
      </w:pPr>
      <w:r>
        <w:rPr>
          <w:rFonts w:ascii="Times New Roman" w:cs="Times New Roman" w:eastAsia="Times New Roman" w:hAnsi="Times New Roman"/>
          <w:b/>
          <w:bCs/>
          <w:sz w:val="36"/>
          <w:szCs w:val="36"/>
        </w:rPr>
        <w:t xml:space="preserve">目  录</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一、项目概述</w:t>
      </w:r>
    </w:p>
    <w:p>
      <w:pPr>
        <w:spacing w:line="360" w:lineRule="auto"/>
        <w:ind w:firstLine="480"/>
        <w:jc w:val="both"/>
      </w:pPr>
      <w:r>
        <w:rPr>
          <w:rFonts w:ascii="Times New Roman" w:cs="Times New Roman" w:eastAsia="Times New Roman" w:hAnsi="Times New Roman"/>
          <w:sz w:val="24"/>
          <w:szCs w:val="24"/>
        </w:rPr>
        <w:t xml:space="preserve">本项目针对含分布式光伏、储能系统及可控负荷的新能源微电网，研究日前-日内两阶段优化调度策略。通过建立混合整数线性规划（MILP）模型，实现微电网运行成本最小化与可再生能源消纳率最大化的多目标协调优化。</w:t>
      </w:r>
    </w:p>
    <w:p>
      <w:pPr>
        <w:spacing w:line="360" w:lineRule="auto"/>
        <w:ind w:firstLine="480"/>
        <w:jc w:val="both"/>
      </w:pPr>
      <w:r>
        <w:rPr>
          <w:rFonts w:ascii="Times New Roman" w:cs="Times New Roman" w:eastAsia="Times New Roman" w:hAnsi="Times New Roman"/>
          <w:sz w:val="24"/>
          <w:szCs w:val="24"/>
        </w:rPr>
        <w:t xml:space="preserve">The microgrid optimization scheduling problem is formulated as a Mixed-Integer Linear Programming (MILP) model, solved by CPLEX solver with a convergence tolerance of 0.1%.</w:t>
      </w:r>
    </w:p>
    <w:p>
      <w:pPr>
        <w:pStyle w:val="Heading2"/>
        <w:spacing w:after="60" w:before="60" w:line="360" w:lineRule="auto"/>
        <w:jc w:val="left"/>
      </w:pPr>
      <w:r>
        <w:rPr>
          <w:rFonts w:ascii="Times New Roman" w:cs="Times New Roman" w:eastAsia="Times New Roman" w:hAnsi="Times New Roman"/>
          <w:b/>
          <w:bCs/>
          <w:sz w:val="28"/>
          <w:szCs w:val="28"/>
        </w:rPr>
        <w:t xml:space="preserve">1.1 研究背景</w:t>
      </w:r>
    </w:p>
    <w:p>
      <w:pPr>
        <w:spacing w:line="360" w:lineRule="auto"/>
        <w:ind w:firstLine="480"/>
        <w:jc w:val="both"/>
      </w:pPr>
      <w:r>
        <w:rPr>
          <w:rFonts w:ascii="Times New Roman" w:cs="Times New Roman" w:eastAsia="Times New Roman" w:hAnsi="Times New Roman"/>
          <w:sz w:val="24"/>
          <w:szCs w:val="24"/>
        </w:rPr>
        <w:t xml:space="preserve">截至2025年底，全国分布式光伏装机容量突破350GW，微电网示范项目超过500个。然而，分布式能源的间歇性和波动性给微电网的经济运行带来了严峻挑战。</w:t>
      </w:r>
    </w:p>
    <w:p>
      <w:pPr>
        <w:pStyle w:val="Heading3"/>
        <w:spacing w:after="60" w:before="60" w:line="360" w:lineRule="auto"/>
        <w:jc w:val="left"/>
      </w:pPr>
      <w:r>
        <w:rPr>
          <w:rFonts w:ascii="Times New Roman" w:cs="Times New Roman" w:eastAsia="Times New Roman" w:hAnsi="Times New Roman"/>
          <w:b/>
          <w:bCs/>
          <w:sz w:val="24"/>
          <w:szCs w:val="24"/>
        </w:rPr>
        <w:t xml:space="preserve">1.1.1 政策环境</w:t>
      </w:r>
    </w:p>
    <w:p>
      <w:pPr>
        <w:spacing w:line="360" w:lineRule="auto"/>
        <w:ind w:firstLine="480"/>
        <w:jc w:val="both"/>
      </w:pPr>
      <w:r>
        <w:rPr>
          <w:rFonts w:ascii="Times New Roman" w:cs="Times New Roman" w:eastAsia="Times New Roman" w:hAnsi="Times New Roman"/>
          <w:sz w:val="24"/>
          <w:szCs w:val="24"/>
        </w:rPr>
        <w:t xml:space="preserve">国家发改委《关于推进新能源微电网示范项目建设的指导意见》明确提出，到2030年建成1000个以上新能源微电网示范项目，实现微电网与大电网的协调互动。</w:t>
      </w:r>
    </w:p>
    <w:p>
      <w:pPr>
        <w:pStyle w:val="Heading4"/>
        <w:spacing w:after="60" w:before="60" w:line="360" w:lineRule="auto"/>
        <w:jc w:val="left"/>
      </w:pPr>
      <w:r>
        <w:rPr>
          <w:rFonts w:ascii="Times New Roman" w:cs="Times New Roman" w:eastAsia="Times New Roman" w:hAnsi="Times New Roman"/>
          <w:b/>
          <w:bCs/>
          <w:sz w:val="24"/>
          <w:szCs w:val="24"/>
        </w:rPr>
        <w:t xml:space="preserve">1.1.1.1 补贴政策</w:t>
      </w:r>
    </w:p>
    <w:p>
      <w:pPr>
        <w:spacing w:line="360" w:lineRule="auto"/>
        <w:ind w:firstLine="480"/>
        <w:jc w:val="both"/>
      </w:pPr>
      <w:r>
        <w:rPr>
          <w:rFonts w:ascii="Times New Roman" w:cs="Times New Roman" w:eastAsia="Times New Roman" w:hAnsi="Times New Roman"/>
          <w:sz w:val="24"/>
          <w:szCs w:val="24"/>
        </w:rPr>
        <w:t xml:space="preserve">分布式光伏发电项目实行“自发自用、余电上网”模式，上网电价按当地燃煤标杆电价执行。储能系统参与电力辅助服务市场，可获得调频补偿收益。</w:t>
      </w:r>
    </w:p>
    <w:p>
      <w:pPr>
        <w:pStyle w:val="Heading3"/>
        <w:spacing w:after="60" w:before="60" w:line="360" w:lineRule="auto"/>
        <w:jc w:val="left"/>
      </w:pPr>
      <w:r>
        <w:rPr>
          <w:rFonts w:ascii="Times New Roman" w:cs="Times New Roman" w:eastAsia="Times New Roman" w:hAnsi="Times New Roman"/>
          <w:b/>
          <w:bCs/>
          <w:sz w:val="24"/>
          <w:szCs w:val="24"/>
        </w:rPr>
        <w:t xml:space="preserve">1.1.2 技术挑战</w:t>
      </w:r>
    </w:p>
    <w:p>
      <w:pPr>
        <w:spacing w:line="360" w:lineRule="auto"/>
        <w:ind w:firstLine="480"/>
        <w:jc w:val="both"/>
      </w:pPr>
      <w:r>
        <w:rPr>
          <w:rFonts w:ascii="Times New Roman" w:cs="Times New Roman" w:eastAsia="Times New Roman" w:hAnsi="Times New Roman"/>
          <w:sz w:val="24"/>
          <w:szCs w:val="24"/>
        </w:rPr>
        <w:t xml:space="preserve">微电网调度需同时考虑光伏出力预测不确定性、储能荷电状态（SOC）约束、负荷需求响应特性等多维耦合因素，传统基于规则的调度策略难以实现全局最优。</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二、数学模型</w:t>
      </w:r>
    </w:p>
    <w:p>
      <w:pPr>
        <w:pStyle w:val="Heading2"/>
        <w:spacing w:after="60" w:before="60" w:line="360" w:lineRule="auto"/>
        <w:jc w:val="left"/>
      </w:pPr>
      <w:r>
        <w:rPr>
          <w:rFonts w:ascii="Times New Roman" w:cs="Times New Roman" w:eastAsia="Times New Roman" w:hAnsi="Times New Roman"/>
          <w:b/>
          <w:bCs/>
          <w:sz w:val="28"/>
          <w:szCs w:val="28"/>
        </w:rPr>
        <w:t xml:space="preserve">2.1 目标函数</w:t>
      </w:r>
    </w:p>
    <w:p>
      <w:pPr>
        <w:spacing w:line="360" w:lineRule="auto"/>
        <w:ind w:firstLine="480"/>
        <w:jc w:val="both"/>
      </w:pPr>
      <w:r>
        <w:rPr>
          <w:rFonts w:ascii="Times New Roman" w:cs="Times New Roman" w:eastAsia="Times New Roman" w:hAnsi="Times New Roman"/>
          <w:sz w:val="24"/>
          <w:szCs w:val="24"/>
        </w:rPr>
        <w:t xml:space="preserve">微电网日运行总成本目标函数包含购电成本、储能折旧成本和弃光惩罚成本三部分：</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928"/>
        <w:gridCol w:w="1378"/>
      </w:tblGrid>
      <w:tr>
        <w:tc>
          <w:tcPr>
            <w:tcW w:type="dxa" w:w="6928"/>
            <w:tcBorders>
              <w:top w:val="none" w:sz="0"/>
              <w:left w:val="none" w:sz="0"/>
              <w:bottom w:val="none" w:sz="0"/>
              <w:right w:val="none" w:sz="0"/>
            </w:tcBorders>
          </w:tcPr>
          <w:p>
            <w:pPr>
              <w:spacing w:line="360" w:lineRule="auto"/>
              <w:jc w:val="center"/>
            </w:pPr>
            <m:oMath>
              <m:r>
                <m:t>C = Σ(C_grid + C_bess + C_curt)</m:t>
              </m:r>
            </m:oMath>
          </w:p>
        </w:tc>
        <w:tc>
          <w:tcPr>
            <w:tcW w:type="dxa" w:w="1378"/>
            <w:tcBorders>
              <w:top w:val="none" w:sz="0"/>
              <w:left w:val="none" w:sz="0"/>
              <w:bottom w:val="none" w:sz="0"/>
              <w:right w:val="none" w:sz="0"/>
            </w:tcBorders>
          </w:tcPr>
          <w:p>
            <w:pPr>
              <w:spacing w:line="360" w:lineRule="auto"/>
              <w:jc w:val="center"/>
            </w:pPr>
            <w:r>
              <w:rPr>
                <w:rFonts w:ascii="Times New Roman" w:cs="Times New Roman" w:eastAsia="Times New Roman" w:hAnsi="Times New Roman"/>
                <w:sz w:val="24"/>
                <w:szCs w:val="24"/>
              </w:rPr>
              <w:t xml:space="preserve">式（2-1）</w:t>
            </w:r>
          </w:p>
        </w:tc>
      </w:tr>
      <w:tr>
        <w:tc>
          <w:tcPr>
            <w:tcW w:type="dxa" w:w="8306"/>
            <w:gridSpan w:val="2"/>
            <w:tcBorders>
              <w:top w:val="none" w:sz="0"/>
              <w:left w:val="none" w:sz="0"/>
              <w:bottom w:val="none" w:sz="0"/>
              <w:right w:val="none" w:sz="0"/>
            </w:tcBorders>
          </w:tcPr>
          <w:p>
            <w:pPr>
              <w:spacing w:line="360" w:lineRule="auto"/>
              <w:ind w:firstLine="480"/>
              <w:jc w:val="both"/>
            </w:pPr>
            <w:r>
              <w:rPr>
                <w:rFonts w:ascii="Times New Roman" w:cs="Times New Roman" w:eastAsia="Times New Roman" w:hAnsi="Times New Roman"/>
                <w:sz w:val="24"/>
                <w:szCs w:val="24"/>
              </w:rPr>
              <w:t xml:space="preserve">其中：</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C——微电网日运行总成本（元）；</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C_grid——与主网交互购电成本（元）；</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C_bess——储能系统运行折旧成本（元）；</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C_curt——弃光惩罚成本（元）。</w:t>
            </w:r>
          </w:p>
        </w:tc>
      </w:tr>
    </w:tbl>
    <w:p>
      <w:pPr>
        <w:spacing w:line="360" w:lineRule="auto"/>
        <w:ind w:firstLine="480"/>
        <w:jc w:val="both"/>
      </w:pPr>
      <w:r>
        <w:rPr>
          <w:rFonts w:ascii="Times New Roman" w:cs="Times New Roman" w:eastAsia="Times New Roman" w:hAnsi="Times New Roman"/>
          <w:sz w:val="24"/>
          <w:szCs w:val="24"/>
        </w:rPr>
        <w:t xml:space="preserve">其中，购电成本与分时电价密切相关，计算公式如下：</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928"/>
        <w:gridCol w:w="1378"/>
      </w:tblGrid>
      <w:tr>
        <w:tc>
          <w:tcPr>
            <w:tcW w:type="dxa" w:w="6928"/>
            <w:tcBorders>
              <w:top w:val="none" w:sz="0"/>
              <w:left w:val="none" w:sz="0"/>
              <w:bottom w:val="none" w:sz="0"/>
              <w:right w:val="none" w:sz="0"/>
            </w:tcBorders>
          </w:tcPr>
          <w:p>
            <w:pPr>
              <w:spacing w:line="360" w:lineRule="auto"/>
              <w:jc w:val="center"/>
            </w:pPr>
            <m:oMath>
              <m:r>
                <m:t>C_grid = Σ λ(t)·P_grid(t)·Δt</m:t>
              </m:r>
            </m:oMath>
          </w:p>
        </w:tc>
        <w:tc>
          <w:tcPr>
            <w:tcW w:type="dxa" w:w="1378"/>
            <w:tcBorders>
              <w:top w:val="none" w:sz="0"/>
              <w:left w:val="none" w:sz="0"/>
              <w:bottom w:val="none" w:sz="0"/>
              <w:right w:val="none" w:sz="0"/>
            </w:tcBorders>
          </w:tcPr>
          <w:p>
            <w:pPr>
              <w:spacing w:line="360" w:lineRule="auto"/>
              <w:jc w:val="center"/>
            </w:pPr>
            <w:r>
              <w:rPr>
                <w:rFonts w:ascii="Times New Roman" w:cs="Times New Roman" w:eastAsia="Times New Roman" w:hAnsi="Times New Roman"/>
                <w:sz w:val="24"/>
                <w:szCs w:val="24"/>
              </w:rPr>
              <w:t xml:space="preserve">式（2-2）</w:t>
            </w:r>
          </w:p>
        </w:tc>
      </w:tr>
      <w:tr>
        <w:tc>
          <w:tcPr>
            <w:tcW w:type="dxa" w:w="8306"/>
            <w:gridSpan w:val="2"/>
            <w:tcBorders>
              <w:top w:val="none" w:sz="0"/>
              <w:left w:val="none" w:sz="0"/>
              <w:bottom w:val="none" w:sz="0"/>
              <w:right w:val="none" w:sz="0"/>
            </w:tcBorders>
          </w:tcPr>
          <w:p>
            <w:pPr>
              <w:spacing w:line="360" w:lineRule="auto"/>
              <w:ind w:firstLine="480"/>
              <w:jc w:val="both"/>
            </w:pPr>
            <w:r>
              <w:rPr>
                <w:rFonts w:ascii="Times New Roman" w:cs="Times New Roman" w:eastAsia="Times New Roman" w:hAnsi="Times New Roman"/>
                <w:sz w:val="24"/>
                <w:szCs w:val="24"/>
              </w:rPr>
              <w:t xml:space="preserve">其中：</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λ(t)——t时段购电电价（元/kWh）；</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P_grid(t)——t时段从主网购入功率（kW）；</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Δt——调度时间间隔，取15min。</w:t>
            </w:r>
          </w:p>
        </w:tc>
      </w:tr>
    </w:tbl>
    <w:p>
      <w:pPr>
        <w:pStyle w:val="Heading2"/>
        <w:spacing w:after="60" w:before="60" w:line="360" w:lineRule="auto"/>
        <w:jc w:val="left"/>
      </w:pPr>
      <w:r>
        <w:rPr>
          <w:rFonts w:ascii="Times New Roman" w:cs="Times New Roman" w:eastAsia="Times New Roman" w:hAnsi="Times New Roman"/>
          <w:b/>
          <w:bCs/>
          <w:sz w:val="28"/>
          <w:szCs w:val="28"/>
        </w:rPr>
        <w:t xml:space="preserve">2.2 储能约束</w:t>
      </w:r>
    </w:p>
    <w:p>
      <w:pPr>
        <w:spacing w:line="360" w:lineRule="auto"/>
        <w:ind w:firstLine="480"/>
        <w:jc w:val="both"/>
      </w:pPr>
      <w:r>
        <w:rPr>
          <w:rFonts w:ascii="Times New Roman" w:cs="Times New Roman" w:eastAsia="Times New Roman" w:hAnsi="Times New Roman"/>
          <w:sz w:val="24"/>
          <w:szCs w:val="24"/>
        </w:rPr>
        <w:t xml:space="preserve">储能系统荷电状态递推方程：</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928"/>
        <w:gridCol w:w="1378"/>
      </w:tblGrid>
      <w:tr>
        <w:tc>
          <w:tcPr>
            <w:tcW w:type="dxa" w:w="6928"/>
            <w:tcBorders>
              <w:top w:val="none" w:sz="0"/>
              <w:left w:val="none" w:sz="0"/>
              <w:bottom w:val="none" w:sz="0"/>
              <w:right w:val="none" w:sz="0"/>
            </w:tcBorders>
          </w:tcPr>
          <w:p>
            <w:pPr>
              <w:spacing w:line="360" w:lineRule="auto"/>
              <w:jc w:val="center"/>
            </w:pPr>
            <m:oMath>
              <m:r>
                <m:t>SOC(t+1) = SOC(t) + (η_c·P_c(t) - P_d(t)/η_d)·Δt/E_rated</m:t>
              </m:r>
            </m:oMath>
          </w:p>
        </w:tc>
        <w:tc>
          <w:tcPr>
            <w:tcW w:type="dxa" w:w="1378"/>
            <w:tcBorders>
              <w:top w:val="none" w:sz="0"/>
              <w:left w:val="none" w:sz="0"/>
              <w:bottom w:val="none" w:sz="0"/>
              <w:right w:val="none" w:sz="0"/>
            </w:tcBorders>
          </w:tcPr>
          <w:p>
            <w:pPr>
              <w:spacing w:line="360" w:lineRule="auto"/>
              <w:jc w:val="center"/>
            </w:pPr>
            <w:r>
              <w:rPr>
                <w:rFonts w:ascii="Times New Roman" w:cs="Times New Roman" w:eastAsia="Times New Roman" w:hAnsi="Times New Roman"/>
                <w:sz w:val="24"/>
                <w:szCs w:val="24"/>
              </w:rPr>
              <w:t xml:space="preserve">式（2-3）</w:t>
            </w:r>
          </w:p>
        </w:tc>
      </w:tr>
      <w:tr>
        <w:tc>
          <w:tcPr>
            <w:tcW w:type="dxa" w:w="8306"/>
            <w:gridSpan w:val="2"/>
            <w:tcBorders>
              <w:top w:val="none" w:sz="0"/>
              <w:left w:val="none" w:sz="0"/>
              <w:bottom w:val="none" w:sz="0"/>
              <w:right w:val="none" w:sz="0"/>
            </w:tcBorders>
          </w:tcPr>
          <w:p>
            <w:pPr>
              <w:spacing w:line="360" w:lineRule="auto"/>
              <w:ind w:firstLine="480"/>
              <w:jc w:val="both"/>
            </w:pPr>
            <w:r>
              <w:rPr>
                <w:rFonts w:ascii="Times New Roman" w:cs="Times New Roman" w:eastAsia="Times New Roman" w:hAnsi="Times New Roman"/>
                <w:sz w:val="24"/>
                <w:szCs w:val="24"/>
              </w:rPr>
              <w:t xml:space="preserve">其中：</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SOC(t)——t时段储能荷电状态（0~1）；</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η_c——充电效率，取0.95；</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η_d——放电效率，取0.95；</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P_c(t)——t时段充电功率（kW）；</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P_d(t)——t时段放电功率（kW）；</w:t>
            </w:r>
          </w:p>
        </w:tc>
      </w:tr>
      <w:tr>
        <w:tc>
          <w:tcPr>
            <w:tcW w:type="dxa" w:w="8306"/>
            <w:gridSpan w:val="2"/>
            <w:tcBorders>
              <w:top w:val="none" w:sz="0"/>
              <w:left w:val="none" w:sz="0"/>
              <w:bottom w:val="none" w:sz="0"/>
              <w:right w:val="none" w:sz="0"/>
            </w:tcBorders>
          </w:tcPr>
          <w:p>
            <w:pPr>
              <w:spacing w:line="360" w:lineRule="auto"/>
              <w:ind w:firstLine="960"/>
              <w:jc w:val="left"/>
            </w:pPr>
            <w:r>
              <w:rPr>
                <w:rFonts w:ascii="Times New Roman" w:cs="Times New Roman" w:eastAsia="Times New Roman" w:hAnsi="Times New Roman"/>
                <w:sz w:val="24"/>
                <w:szCs w:val="24"/>
              </w:rPr>
              <w:t xml:space="preserve">E_rated——储能额定容量（kWh）。</w:t>
            </w:r>
          </w:p>
        </w:tc>
      </w:tr>
    </w:tbl>
    <w:p>
      <w:pPr>
        <w:pBdr>
          <w:top w:val="single" w:color="CCCCCC" w:sz="1" w:space="1"/>
          <w:bottom w:val="single" w:color="CCCCCC" w:sz="1" w:space="1"/>
          <w:left w:val="single" w:color="CCCCCC" w:sz="1" w:space="1"/>
          <w:right w:val="single" w:color="CCCCCC" w:sz="1" w:space="1"/>
        </w:pBdr>
        <w:shd w:fill="F0F0F0" w:val="clear"/>
        <w:spacing w:after="0" w:before="120"/>
        <w:jc w:val="center"/>
      </w:pPr>
      <w:r>
        <w:rPr>
          <w:rFonts w:ascii="Times New Roman" w:cs="Times New Roman" w:eastAsia="Times New Roman" w:hAnsi="Times New Roman"/>
          <w:color w:val="666666"/>
          <w:sz w:val="21"/>
          <w:szCs w:val="21"/>
        </w:rPr>
        <w:t xml:space="preserve">（描述：微电网优化调度系统架构图：左侧为分布式能源（光伏阵列、风力发电机、储能电池组），中间为能量管理系统（EMS），右侧为负荷侧（工业负荷、商业负荷、居民负荷），底部为主电网接口）</w:t>
      </w:r>
    </w:p>
    <w:p>
      <w:pPr>
        <w:spacing w:after="120" w:before="60"/>
        <w:jc w:val="center"/>
      </w:pPr>
      <w:r>
        <w:rPr>
          <w:rFonts w:ascii="Times New Roman" w:cs="Times New Roman" w:eastAsia="Times New Roman" w:hAnsi="Times New Roman"/>
          <w:b/>
          <w:bCs/>
          <w:sz w:val="21"/>
          <w:szCs w:val="21"/>
        </w:rPr>
        <w:t xml:space="preserve">图1 微电网优化调度系统架构</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三、仿真结果与分析</w:t>
      </w:r>
    </w:p>
    <w:p>
      <w:pPr>
        <w:pStyle w:val="Heading2"/>
        <w:spacing w:after="60" w:before="60" w:line="360" w:lineRule="auto"/>
        <w:jc w:val="left"/>
      </w:pPr>
      <w:r>
        <w:rPr>
          <w:rFonts w:ascii="Times New Roman" w:cs="Times New Roman" w:eastAsia="Times New Roman" w:hAnsi="Times New Roman"/>
          <w:b/>
          <w:bCs/>
          <w:sz w:val="28"/>
          <w:szCs w:val="28"/>
        </w:rPr>
        <w:t xml:space="preserve">3.1 仿真参数</w:t>
      </w:r>
    </w:p>
    <w:p>
      <w:pPr>
        <w:spacing w:line="360" w:lineRule="auto"/>
        <w:ind w:firstLine="480"/>
        <w:jc w:val="both"/>
      </w:pPr>
      <w:r>
        <w:rPr>
          <w:rFonts w:ascii="Times New Roman" w:cs="Times New Roman" w:eastAsia="Times New Roman" w:hAnsi="Times New Roman"/>
          <w:sz w:val="24"/>
          <w:szCs w:val="24"/>
        </w:rPr>
        <w:t xml:space="preserve">仿真采用某工业园区微电网实际运行数据，光伏装机容量2MW，储能系统容量4MWh/2MW，最大负荷3.5MW。调度周期为24小时，时间分辨率15分钟。</w:t>
      </w:r>
    </w:p>
    <w:p>
      <w:pPr>
        <w:spacing w:after="60" w:before="120"/>
        <w:jc w:val="center"/>
      </w:pPr>
      <w:r>
        <w:rPr>
          <w:rFonts w:ascii="Times New Roman" w:cs="Times New Roman" w:eastAsia="Times New Roman" w:hAnsi="Times New Roman"/>
          <w:b/>
          <w:bCs/>
          <w:sz w:val="21"/>
          <w:szCs w:val="21"/>
        </w:rPr>
        <w:t xml:space="preserve">表1 微电网主要参数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06"/>
        <w:gridCol w:w="2000"/>
      </w:tblGrid>
      <w:tr>
        <w:trPr>
          <w:tblHeader/>
        </w:trPr>
        <w:tc>
          <w:tcPr>
            <w:tcW w:type="dxa" w:w="2400"/>
            <w:shd w:fill="D9E2F3" w:val="clear"/>
          </w:tcPr>
          <w:p>
            <w:pPr>
              <w:jc w:val="center"/>
            </w:pPr>
            <w:r>
              <w:rPr>
                <w:rFonts w:ascii="Times New Roman" w:cs="Times New Roman" w:eastAsia="Times New Roman" w:hAnsi="Times New Roman"/>
                <w:b/>
                <w:bCs/>
                <w:sz w:val="21"/>
                <w:szCs w:val="21"/>
              </w:rPr>
              <w:t xml:space="preserve">参数名称</w:t>
            </w:r>
          </w:p>
        </w:tc>
        <w:tc>
          <w:tcPr>
            <w:tcW w:type="dxa" w:w="2000"/>
            <w:shd w:fill="D9E2F3" w:val="clear"/>
          </w:tcPr>
          <w:p>
            <w:pPr>
              <w:jc w:val="center"/>
            </w:pPr>
            <w:r>
              <w:rPr>
                <w:rFonts w:ascii="Times New Roman" w:cs="Times New Roman" w:eastAsia="Times New Roman" w:hAnsi="Times New Roman"/>
                <w:b/>
                <w:bCs/>
                <w:sz w:val="21"/>
                <w:szCs w:val="21"/>
              </w:rPr>
              <w:t xml:space="preserve">符号</w:t>
            </w:r>
          </w:p>
        </w:tc>
        <w:tc>
          <w:tcPr>
            <w:tcW w:type="dxa" w:w="1906"/>
            <w:shd w:fill="D9E2F3" w:val="clear"/>
          </w:tcPr>
          <w:p>
            <w:pPr>
              <w:jc w:val="center"/>
            </w:pPr>
            <w:r>
              <w:rPr>
                <w:rFonts w:ascii="Times New Roman" w:cs="Times New Roman" w:eastAsia="Times New Roman" w:hAnsi="Times New Roman"/>
                <w:b/>
                <w:bCs/>
                <w:sz w:val="21"/>
                <w:szCs w:val="21"/>
              </w:rPr>
              <w:t xml:space="preserve">数值</w:t>
            </w:r>
          </w:p>
        </w:tc>
        <w:tc>
          <w:tcPr>
            <w:tcW w:type="dxa" w:w="2000"/>
            <w:shd w:fill="D9E2F3" w:val="clear"/>
          </w:tcPr>
          <w:p>
            <w:pPr>
              <w:jc w:val="center"/>
            </w:pPr>
            <w:r>
              <w:rPr>
                <w:rFonts w:ascii="Times New Roman" w:cs="Times New Roman" w:eastAsia="Times New Roman" w:hAnsi="Times New Roman"/>
                <w:b/>
                <w:bCs/>
                <w:sz w:val="21"/>
                <w:szCs w:val="21"/>
              </w:rPr>
              <w:t xml:space="preserve">单位</w:t>
            </w:r>
          </w:p>
        </w:tc>
      </w:tr>
      <w:tr>
        <w:tc>
          <w:tcPr>
            <w:tcW w:type="dxa" w:w="2400"/>
          </w:tcPr>
          <w:p>
            <w:pPr>
              <w:jc w:val="center"/>
            </w:pPr>
            <w:r>
              <w:rPr>
                <w:rFonts w:ascii="Times New Roman" w:cs="Times New Roman" w:eastAsia="Times New Roman" w:hAnsi="Times New Roman"/>
                <w:sz w:val="21"/>
                <w:szCs w:val="21"/>
              </w:rPr>
              <w:t xml:space="preserve">光伏装机容量</w:t>
            </w:r>
          </w:p>
        </w:tc>
        <w:tc>
          <w:tcPr>
            <w:tcW w:type="dxa" w:w="2000"/>
          </w:tcPr>
          <w:p>
            <w:pPr>
              <w:jc w:val="center"/>
            </w:pPr>
            <w:r>
              <w:rPr>
                <w:rFonts w:ascii="Times New Roman" w:cs="Times New Roman" w:eastAsia="Times New Roman" w:hAnsi="Times New Roman"/>
                <w:sz w:val="21"/>
                <w:szCs w:val="21"/>
              </w:rPr>
              <w:t xml:space="preserve">P_pv</w:t>
            </w:r>
          </w:p>
        </w:tc>
        <w:tc>
          <w:tcPr>
            <w:tcW w:type="dxa" w:w="1906"/>
          </w:tcPr>
          <w:p>
            <w:pPr>
              <w:jc w:val="center"/>
            </w:pPr>
            <w:r>
              <w:rPr>
                <w:rFonts w:ascii="Times New Roman" w:cs="Times New Roman" w:eastAsia="Times New Roman" w:hAnsi="Times New Roman"/>
                <w:sz w:val="21"/>
                <w:szCs w:val="21"/>
              </w:rPr>
              <w:t xml:space="preserve">2000</w:t>
            </w:r>
          </w:p>
        </w:tc>
        <w:tc>
          <w:tcPr>
            <w:tcW w:type="dxa" w:w="2000"/>
          </w:tcPr>
          <w:p>
            <w:pPr>
              <w:jc w:val="center"/>
            </w:pPr>
            <w:r>
              <w:rPr>
                <w:rFonts w:ascii="Times New Roman" w:cs="Times New Roman" w:eastAsia="Times New Roman" w:hAnsi="Times New Roman"/>
                <w:sz w:val="21"/>
                <w:szCs w:val="21"/>
              </w:rPr>
              <w:t xml:space="preserve">kW</w:t>
            </w:r>
          </w:p>
        </w:tc>
      </w:tr>
      <w:tr>
        <w:tc>
          <w:tcPr>
            <w:tcW w:type="dxa" w:w="2400"/>
          </w:tcPr>
          <w:p>
            <w:pPr>
              <w:jc w:val="center"/>
            </w:pPr>
            <w:r>
              <w:rPr>
                <w:rFonts w:ascii="Times New Roman" w:cs="Times New Roman" w:eastAsia="Times New Roman" w:hAnsi="Times New Roman"/>
                <w:sz w:val="21"/>
                <w:szCs w:val="21"/>
              </w:rPr>
              <w:t xml:space="preserve">储能额定容量</w:t>
            </w:r>
          </w:p>
        </w:tc>
        <w:tc>
          <w:tcPr>
            <w:tcW w:type="dxa" w:w="2000"/>
          </w:tcPr>
          <w:p>
            <w:pPr>
              <w:jc w:val="center"/>
            </w:pPr>
            <w:r>
              <w:rPr>
                <w:rFonts w:ascii="Times New Roman" w:cs="Times New Roman" w:eastAsia="Times New Roman" w:hAnsi="Times New Roman"/>
                <w:sz w:val="21"/>
                <w:szCs w:val="21"/>
              </w:rPr>
              <w:t xml:space="preserve">E_rated</w:t>
            </w:r>
          </w:p>
        </w:tc>
        <w:tc>
          <w:tcPr>
            <w:tcW w:type="dxa" w:w="1906"/>
          </w:tcPr>
          <w:p>
            <w:pPr>
              <w:jc w:val="center"/>
            </w:pPr>
            <w:r>
              <w:rPr>
                <w:rFonts w:ascii="Times New Roman" w:cs="Times New Roman" w:eastAsia="Times New Roman" w:hAnsi="Times New Roman"/>
                <w:sz w:val="21"/>
                <w:szCs w:val="21"/>
              </w:rPr>
              <w:t xml:space="preserve">4000</w:t>
            </w:r>
          </w:p>
        </w:tc>
        <w:tc>
          <w:tcPr>
            <w:tcW w:type="dxa" w:w="2000"/>
          </w:tcPr>
          <w:p>
            <w:pPr>
              <w:jc w:val="center"/>
            </w:pPr>
            <w:r>
              <w:rPr>
                <w:rFonts w:ascii="Times New Roman" w:cs="Times New Roman" w:eastAsia="Times New Roman" w:hAnsi="Times New Roman"/>
                <w:sz w:val="21"/>
                <w:szCs w:val="21"/>
              </w:rPr>
              <w:t xml:space="preserve">kWh</w:t>
            </w:r>
          </w:p>
        </w:tc>
      </w:tr>
      <w:tr>
        <w:tc>
          <w:tcPr>
            <w:tcW w:type="dxa" w:w="2400"/>
          </w:tcPr>
          <w:p>
            <w:pPr>
              <w:jc w:val="center"/>
            </w:pPr>
            <w:r>
              <w:rPr>
                <w:rFonts w:ascii="Times New Roman" w:cs="Times New Roman" w:eastAsia="Times New Roman" w:hAnsi="Times New Roman"/>
                <w:sz w:val="21"/>
                <w:szCs w:val="21"/>
              </w:rPr>
              <w:t xml:space="preserve">储能额定功率</w:t>
            </w:r>
          </w:p>
        </w:tc>
        <w:tc>
          <w:tcPr>
            <w:tcW w:type="dxa" w:w="2000"/>
          </w:tcPr>
          <w:p>
            <w:pPr>
              <w:jc w:val="center"/>
            </w:pPr>
            <w:r>
              <w:rPr>
                <w:rFonts w:ascii="Times New Roman" w:cs="Times New Roman" w:eastAsia="Times New Roman" w:hAnsi="Times New Roman"/>
                <w:sz w:val="21"/>
                <w:szCs w:val="21"/>
              </w:rPr>
              <w:t xml:space="preserve">P_bess</w:t>
            </w:r>
          </w:p>
        </w:tc>
        <w:tc>
          <w:tcPr>
            <w:tcW w:type="dxa" w:w="1906"/>
          </w:tcPr>
          <w:p>
            <w:pPr>
              <w:jc w:val="center"/>
            </w:pPr>
            <w:r>
              <w:rPr>
                <w:rFonts w:ascii="Times New Roman" w:cs="Times New Roman" w:eastAsia="Times New Roman" w:hAnsi="Times New Roman"/>
                <w:sz w:val="21"/>
                <w:szCs w:val="21"/>
              </w:rPr>
              <w:t xml:space="preserve">2000</w:t>
            </w:r>
          </w:p>
        </w:tc>
        <w:tc>
          <w:tcPr>
            <w:tcW w:type="dxa" w:w="2000"/>
          </w:tcPr>
          <w:p>
            <w:pPr>
              <w:jc w:val="center"/>
            </w:pPr>
            <w:r>
              <w:rPr>
                <w:rFonts w:ascii="Times New Roman" w:cs="Times New Roman" w:eastAsia="Times New Roman" w:hAnsi="Times New Roman"/>
                <w:sz w:val="21"/>
                <w:szCs w:val="21"/>
              </w:rPr>
              <w:t xml:space="preserve">kW</w:t>
            </w:r>
          </w:p>
        </w:tc>
      </w:tr>
      <w:tr>
        <w:tc>
          <w:tcPr>
            <w:tcW w:type="dxa" w:w="2400"/>
          </w:tcPr>
          <w:p>
            <w:pPr>
              <w:jc w:val="center"/>
            </w:pPr>
            <w:r>
              <w:rPr>
                <w:rFonts w:ascii="Times New Roman" w:cs="Times New Roman" w:eastAsia="Times New Roman" w:hAnsi="Times New Roman"/>
                <w:sz w:val="21"/>
                <w:szCs w:val="21"/>
              </w:rPr>
              <w:t xml:space="preserve">最大负荷</w:t>
            </w:r>
          </w:p>
        </w:tc>
        <w:tc>
          <w:tcPr>
            <w:tcW w:type="dxa" w:w="2000"/>
          </w:tcPr>
          <w:p>
            <w:pPr>
              <w:jc w:val="center"/>
            </w:pPr>
            <w:r>
              <w:rPr>
                <w:rFonts w:ascii="Times New Roman" w:cs="Times New Roman" w:eastAsia="Times New Roman" w:hAnsi="Times New Roman"/>
                <w:sz w:val="21"/>
                <w:szCs w:val="21"/>
              </w:rPr>
              <w:t xml:space="preserve">P_load,max</w:t>
            </w:r>
          </w:p>
        </w:tc>
        <w:tc>
          <w:tcPr>
            <w:tcW w:type="dxa" w:w="1906"/>
          </w:tcPr>
          <w:p>
            <w:pPr>
              <w:jc w:val="center"/>
            </w:pPr>
            <w:r>
              <w:rPr>
                <w:rFonts w:ascii="Times New Roman" w:cs="Times New Roman" w:eastAsia="Times New Roman" w:hAnsi="Times New Roman"/>
                <w:sz w:val="21"/>
                <w:szCs w:val="21"/>
              </w:rPr>
              <w:t xml:space="preserve">3500</w:t>
            </w:r>
          </w:p>
        </w:tc>
        <w:tc>
          <w:tcPr>
            <w:tcW w:type="dxa" w:w="2000"/>
          </w:tcPr>
          <w:p>
            <w:pPr>
              <w:jc w:val="center"/>
            </w:pPr>
            <w:r>
              <w:rPr>
                <w:rFonts w:ascii="Times New Roman" w:cs="Times New Roman" w:eastAsia="Times New Roman" w:hAnsi="Times New Roman"/>
                <w:sz w:val="21"/>
                <w:szCs w:val="21"/>
              </w:rPr>
              <w:t xml:space="preserve">kW</w:t>
            </w:r>
          </w:p>
        </w:tc>
      </w:tr>
      <w:tr>
        <w:tc>
          <w:tcPr>
            <w:tcW w:type="dxa" w:w="2400"/>
          </w:tcPr>
          <w:p>
            <w:pPr>
              <w:jc w:val="center"/>
            </w:pPr>
            <w:r>
              <w:rPr>
                <w:rFonts w:ascii="Times New Roman" w:cs="Times New Roman" w:eastAsia="Times New Roman" w:hAnsi="Times New Roman"/>
                <w:sz w:val="21"/>
                <w:szCs w:val="21"/>
              </w:rPr>
              <w:t xml:space="preserve">充放电效率</w:t>
            </w:r>
          </w:p>
        </w:tc>
        <w:tc>
          <w:tcPr>
            <w:tcW w:type="dxa" w:w="2000"/>
          </w:tcPr>
          <w:p>
            <w:pPr>
              <w:jc w:val="center"/>
            </w:pPr>
            <w:r>
              <w:rPr>
                <w:rFonts w:ascii="Times New Roman" w:cs="Times New Roman" w:eastAsia="Times New Roman" w:hAnsi="Times New Roman"/>
                <w:sz w:val="21"/>
                <w:szCs w:val="21"/>
              </w:rPr>
              <w:t xml:space="preserve">η_c / η_d</w:t>
            </w:r>
          </w:p>
        </w:tc>
        <w:tc>
          <w:tcPr>
            <w:tcW w:type="dxa" w:w="1906"/>
          </w:tcPr>
          <w:p>
            <w:pPr>
              <w:jc w:val="center"/>
            </w:pPr>
            <w:r>
              <w:rPr>
                <w:rFonts w:ascii="Times New Roman" w:cs="Times New Roman" w:eastAsia="Times New Roman" w:hAnsi="Times New Roman"/>
                <w:sz w:val="21"/>
                <w:szCs w:val="21"/>
              </w:rPr>
              <w:t xml:space="preserve">0.95</w:t>
            </w:r>
          </w:p>
        </w:tc>
        <w:tc>
          <w:tcPr>
            <w:tcW w:type="dxa" w:w="2000"/>
          </w:tcPr>
          <w:p>
            <w:pPr>
              <w:jc w:val="center"/>
            </w:pPr>
            <w:r>
              <w:rPr>
                <w:rFonts w:ascii="Times New Roman" w:cs="Times New Roman" w:eastAsia="Times New Roman" w:hAnsi="Times New Roman"/>
                <w:sz w:val="21"/>
                <w:szCs w:val="21"/>
              </w:rPr>
              <w:t xml:space="preserve">-</w:t>
            </w:r>
          </w:p>
        </w:tc>
      </w:tr>
      <w:tr>
        <w:tc>
          <w:tcPr>
            <w:tcW w:type="dxa" w:w="2400"/>
          </w:tcPr>
          <w:p>
            <w:pPr>
              <w:jc w:val="center"/>
            </w:pPr>
            <w:r>
              <w:rPr>
                <w:rFonts w:ascii="Times New Roman" w:cs="Times New Roman" w:eastAsia="Times New Roman" w:hAnsi="Times New Roman"/>
                <w:sz w:val="21"/>
                <w:szCs w:val="21"/>
              </w:rPr>
              <w:t xml:space="preserve">SOC范围</w:t>
            </w:r>
          </w:p>
        </w:tc>
        <w:tc>
          <w:tcPr>
            <w:tcW w:type="dxa" w:w="2000"/>
          </w:tcPr>
          <w:p>
            <w:pPr>
              <w:jc w:val="center"/>
            </w:pPr>
            <w:r>
              <w:rPr>
                <w:rFonts w:ascii="Times New Roman" w:cs="Times New Roman" w:eastAsia="Times New Roman" w:hAnsi="Times New Roman"/>
                <w:sz w:val="21"/>
                <w:szCs w:val="21"/>
              </w:rPr>
              <w:t xml:space="preserve">SOC</w:t>
            </w:r>
          </w:p>
        </w:tc>
        <w:tc>
          <w:tcPr>
            <w:tcW w:type="dxa" w:w="1906"/>
          </w:tcPr>
          <w:p>
            <w:pPr>
              <w:jc w:val="center"/>
            </w:pPr>
            <w:r>
              <w:rPr>
                <w:rFonts w:ascii="Times New Roman" w:cs="Times New Roman" w:eastAsia="Times New Roman" w:hAnsi="Times New Roman"/>
                <w:sz w:val="21"/>
                <w:szCs w:val="21"/>
              </w:rPr>
              <w:t xml:space="preserve">0.1~0.9</w:t>
            </w:r>
          </w:p>
        </w:tc>
        <w:tc>
          <w:tcPr>
            <w:tcW w:type="dxa" w:w="2000"/>
          </w:tcPr>
          <w:p>
            <w:pPr>
              <w:jc w:val="center"/>
            </w:pPr>
            <w:r>
              <w:rPr>
                <w:rFonts w:ascii="Times New Roman" w:cs="Times New Roman" w:eastAsia="Times New Roman" w:hAnsi="Times New Roman"/>
                <w:sz w:val="21"/>
                <w:szCs w:val="21"/>
              </w:rPr>
              <w:t xml:space="preserve">-</w:t>
            </w:r>
          </w:p>
        </w:tc>
      </w:tr>
    </w:tbl>
    <w:p>
      <w:pPr>
        <w:pStyle w:val="Heading2"/>
        <w:spacing w:after="60" w:before="60" w:line="360" w:lineRule="auto"/>
        <w:jc w:val="left"/>
      </w:pPr>
      <w:r>
        <w:rPr>
          <w:rFonts w:ascii="Times New Roman" w:cs="Times New Roman" w:eastAsia="Times New Roman" w:hAnsi="Times New Roman"/>
          <w:b/>
          <w:bCs/>
          <w:sz w:val="28"/>
          <w:szCs w:val="28"/>
        </w:rPr>
        <w:t xml:space="preserve">3.2 优化结果</w:t>
      </w:r>
    </w:p>
    <w:p>
      <w:pPr>
        <w:spacing w:line="360" w:lineRule="auto"/>
        <w:ind w:firstLine="480"/>
        <w:jc w:val="both"/>
      </w:pPr>
      <w:r>
        <w:rPr>
          <w:rFonts w:ascii="Times New Roman" w:cs="Times New Roman" w:eastAsia="Times New Roman" w:hAnsi="Times New Roman"/>
          <w:sz w:val="24"/>
          <w:szCs w:val="24"/>
        </w:rPr>
        <w:t xml:space="preserve">采用本文所提两阶段优化调度策略后，微电网日运行总成本较传统固定策略降低18.6%，可再生能源消纳率从82.3%提升至97.1%。</w:t>
      </w:r>
    </w:p>
    <w:p>
      <w:pPr>
        <w:spacing w:after="60" w:before="120"/>
        <w:jc w:val="center"/>
      </w:pPr>
      <w:r>
        <w:rPr>
          <w:rFonts w:ascii="Times New Roman" w:cs="Times New Roman" w:eastAsia="Times New Roman" w:hAnsi="Times New Roman"/>
          <w:b/>
          <w:bCs/>
          <w:sz w:val="21"/>
          <w:szCs w:val="21"/>
        </w:rPr>
        <w:t xml:space="preserve">表2 不同调度策略性能对比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7"/>
        <w:gridCol w:w="2077"/>
      </w:tblGrid>
      <w:tr>
        <w:trPr>
          <w:tblHeader/>
        </w:trPr>
        <w:tc>
          <w:tcPr>
            <w:tcW w:type="dxa" w:w="2076"/>
            <w:shd w:fill="D9E2F3" w:val="clear"/>
          </w:tcPr>
          <w:p>
            <w:pPr>
              <w:jc w:val="center"/>
            </w:pPr>
            <w:r>
              <w:rPr>
                <w:rFonts w:ascii="Times New Roman" w:cs="Times New Roman" w:eastAsia="Times New Roman" w:hAnsi="Times New Roman"/>
                <w:b/>
                <w:bCs/>
                <w:sz w:val="21"/>
                <w:szCs w:val="21"/>
              </w:rPr>
              <w:t xml:space="preserve">调度策略</w:t>
            </w:r>
          </w:p>
        </w:tc>
        <w:tc>
          <w:tcPr>
            <w:tcW w:type="dxa" w:w="2076"/>
            <w:shd w:fill="D9E2F3" w:val="clear"/>
          </w:tcPr>
          <w:p>
            <w:pPr>
              <w:jc w:val="center"/>
            </w:pPr>
            <w:r>
              <w:rPr>
                <w:rFonts w:ascii="Times New Roman" w:cs="Times New Roman" w:eastAsia="Times New Roman" w:hAnsi="Times New Roman"/>
                <w:b/>
                <w:bCs/>
                <w:sz w:val="21"/>
                <w:szCs w:val="21"/>
              </w:rPr>
              <w:t xml:space="preserve">日运行成本（元）</w:t>
            </w:r>
          </w:p>
        </w:tc>
        <w:tc>
          <w:tcPr>
            <w:tcW w:type="dxa" w:w="2077"/>
            <w:shd w:fill="D9E2F3" w:val="clear"/>
          </w:tcPr>
          <w:p>
            <w:pPr>
              <w:jc w:val="center"/>
            </w:pPr>
            <w:r>
              <w:rPr>
                <w:rFonts w:ascii="Times New Roman" w:cs="Times New Roman" w:eastAsia="Times New Roman" w:hAnsi="Times New Roman"/>
                <w:b/>
                <w:bCs/>
                <w:sz w:val="21"/>
                <w:szCs w:val="21"/>
              </w:rPr>
              <w:t xml:space="preserve">消纳率</w:t>
            </w:r>
          </w:p>
        </w:tc>
        <w:tc>
          <w:tcPr>
            <w:tcW w:type="dxa" w:w="2077"/>
            <w:shd w:fill="D9E2F3" w:val="clear"/>
          </w:tcPr>
          <w:p>
            <w:pPr>
              <w:jc w:val="center"/>
            </w:pPr>
            <w:r>
              <w:rPr>
                <w:rFonts w:ascii="Times New Roman" w:cs="Times New Roman" w:eastAsia="Times New Roman" w:hAnsi="Times New Roman"/>
                <w:b/>
                <w:bCs/>
                <w:sz w:val="21"/>
                <w:szCs w:val="21"/>
              </w:rPr>
              <w:t xml:space="preserve">求解时间</w:t>
            </w:r>
          </w:p>
        </w:tc>
      </w:tr>
      <w:tr>
        <w:tc>
          <w:tcPr>
            <w:tcW w:type="dxa" w:w="2076"/>
          </w:tcPr>
          <w:p>
            <w:pPr>
              <w:jc w:val="center"/>
            </w:pPr>
            <w:r>
              <w:rPr>
                <w:rFonts w:ascii="Times New Roman" w:cs="Times New Roman" w:eastAsia="Times New Roman" w:hAnsi="Times New Roman"/>
                <w:sz w:val="21"/>
                <w:szCs w:val="21"/>
              </w:rPr>
              <w:t xml:space="preserve">固定功率策略</w:t>
            </w:r>
          </w:p>
        </w:tc>
        <w:tc>
          <w:tcPr>
            <w:tcW w:type="dxa" w:w="2076"/>
          </w:tcPr>
          <w:p>
            <w:pPr>
              <w:jc w:val="center"/>
            </w:pPr>
            <w:r>
              <w:rPr>
                <w:rFonts w:ascii="Times New Roman" w:cs="Times New Roman" w:eastAsia="Times New Roman" w:hAnsi="Times New Roman"/>
                <w:sz w:val="21"/>
                <w:szCs w:val="21"/>
              </w:rPr>
              <w:t xml:space="preserve">12,450</w:t>
            </w:r>
          </w:p>
        </w:tc>
        <w:tc>
          <w:tcPr>
            <w:tcW w:type="dxa" w:w="2077"/>
          </w:tcPr>
          <w:p>
            <w:pPr>
              <w:jc w:val="center"/>
            </w:pPr>
            <w:r>
              <w:rPr>
                <w:rFonts w:ascii="Times New Roman" w:cs="Times New Roman" w:eastAsia="Times New Roman" w:hAnsi="Times New Roman"/>
                <w:sz w:val="21"/>
                <w:szCs w:val="21"/>
              </w:rPr>
              <w:t xml:space="preserve">82.3%</w:t>
            </w:r>
          </w:p>
        </w:tc>
        <w:tc>
          <w:tcPr>
            <w:tcW w:type="dxa" w:w="2077"/>
          </w:tcPr>
          <w:p>
            <w:pPr>
              <w:jc w:val="center"/>
            </w:pPr>
            <w:r>
              <w:rPr>
                <w:rFonts w:ascii="Times New Roman" w:cs="Times New Roman" w:eastAsia="Times New Roman" w:hAnsi="Times New Roman"/>
                <w:sz w:val="21"/>
                <w:szCs w:val="21"/>
              </w:rPr>
              <w:t xml:space="preserve">-</w:t>
            </w:r>
          </w:p>
        </w:tc>
      </w:tr>
      <w:tr>
        <w:tc>
          <w:tcPr>
            <w:tcW w:type="dxa" w:w="2076"/>
          </w:tcPr>
          <w:p>
            <w:pPr>
              <w:jc w:val="center"/>
            </w:pPr>
            <w:r>
              <w:rPr>
                <w:rFonts w:ascii="Times New Roman" w:cs="Times New Roman" w:eastAsia="Times New Roman" w:hAnsi="Times New Roman"/>
                <w:sz w:val="21"/>
                <w:szCs w:val="21"/>
              </w:rPr>
              <w:t xml:space="preserve">规则策略</w:t>
            </w:r>
          </w:p>
        </w:tc>
        <w:tc>
          <w:tcPr>
            <w:tcW w:type="dxa" w:w="2076"/>
          </w:tcPr>
          <w:p>
            <w:pPr>
              <w:jc w:val="center"/>
            </w:pPr>
            <w:r>
              <w:rPr>
                <w:rFonts w:ascii="Times New Roman" w:cs="Times New Roman" w:eastAsia="Times New Roman" w:hAnsi="Times New Roman"/>
                <w:sz w:val="21"/>
                <w:szCs w:val="21"/>
              </w:rPr>
              <w:t xml:space="preserve">10,820</w:t>
            </w:r>
          </w:p>
        </w:tc>
        <w:tc>
          <w:tcPr>
            <w:tcW w:type="dxa" w:w="2077"/>
          </w:tcPr>
          <w:p>
            <w:pPr>
              <w:jc w:val="center"/>
            </w:pPr>
            <w:r>
              <w:rPr>
                <w:rFonts w:ascii="Times New Roman" w:cs="Times New Roman" w:eastAsia="Times New Roman" w:hAnsi="Times New Roman"/>
                <w:sz w:val="21"/>
                <w:szCs w:val="21"/>
              </w:rPr>
              <w:t xml:space="preserve">89.5%</w:t>
            </w:r>
          </w:p>
        </w:tc>
        <w:tc>
          <w:tcPr>
            <w:tcW w:type="dxa" w:w="2077"/>
          </w:tcPr>
          <w:p>
            <w:pPr>
              <w:jc w:val="center"/>
            </w:pPr>
            <w:r>
              <w:rPr>
                <w:rFonts w:ascii="Times New Roman" w:cs="Times New Roman" w:eastAsia="Times New Roman" w:hAnsi="Times New Roman"/>
                <w:sz w:val="21"/>
                <w:szCs w:val="21"/>
              </w:rPr>
              <w:t xml:space="preserve">-</w:t>
            </w:r>
          </w:p>
        </w:tc>
      </w:tr>
      <w:tr>
        <w:tc>
          <w:tcPr>
            <w:tcW w:type="dxa" w:w="2076"/>
          </w:tcPr>
          <w:p>
            <w:pPr>
              <w:jc w:val="center"/>
            </w:pPr>
            <w:r>
              <w:rPr>
                <w:rFonts w:ascii="Times New Roman" w:cs="Times New Roman" w:eastAsia="Times New Roman" w:hAnsi="Times New Roman"/>
                <w:sz w:val="21"/>
                <w:szCs w:val="21"/>
              </w:rPr>
              <w:t xml:space="preserve">日前优化（MILP）</w:t>
            </w:r>
          </w:p>
        </w:tc>
        <w:tc>
          <w:tcPr>
            <w:tcW w:type="dxa" w:w="2076"/>
          </w:tcPr>
          <w:p>
            <w:pPr>
              <w:jc w:val="center"/>
            </w:pPr>
            <w:r>
              <w:rPr>
                <w:rFonts w:ascii="Times New Roman" w:cs="Times New Roman" w:eastAsia="Times New Roman" w:hAnsi="Times New Roman"/>
                <w:sz w:val="21"/>
                <w:szCs w:val="21"/>
              </w:rPr>
              <w:t xml:space="preserve">9,650</w:t>
            </w:r>
          </w:p>
        </w:tc>
        <w:tc>
          <w:tcPr>
            <w:tcW w:type="dxa" w:w="2077"/>
          </w:tcPr>
          <w:p>
            <w:pPr>
              <w:jc w:val="center"/>
            </w:pPr>
            <w:r>
              <w:rPr>
                <w:rFonts w:ascii="Times New Roman" w:cs="Times New Roman" w:eastAsia="Times New Roman" w:hAnsi="Times New Roman"/>
                <w:sz w:val="21"/>
                <w:szCs w:val="21"/>
              </w:rPr>
              <w:t xml:space="preserve">95.8%</w:t>
            </w:r>
          </w:p>
        </w:tc>
        <w:tc>
          <w:tcPr>
            <w:tcW w:type="dxa" w:w="2077"/>
          </w:tcPr>
          <w:p>
            <w:pPr>
              <w:jc w:val="center"/>
            </w:pPr>
            <w:r>
              <w:rPr>
                <w:rFonts w:ascii="Times New Roman" w:cs="Times New Roman" w:eastAsia="Times New Roman" w:hAnsi="Times New Roman"/>
                <w:sz w:val="21"/>
                <w:szCs w:val="21"/>
              </w:rPr>
              <w:t xml:space="preserve">2.3s</w:t>
            </w:r>
          </w:p>
        </w:tc>
      </w:tr>
      <w:tr>
        <w:tc>
          <w:tcPr>
            <w:tcW w:type="dxa" w:w="2076"/>
          </w:tcPr>
          <w:p>
            <w:pPr>
              <w:jc w:val="center"/>
            </w:pPr>
            <w:r>
              <w:rPr>
                <w:rFonts w:ascii="Times New Roman" w:cs="Times New Roman" w:eastAsia="Times New Roman" w:hAnsi="Times New Roman"/>
                <w:sz w:val="21"/>
                <w:szCs w:val="21"/>
              </w:rPr>
              <w:t xml:space="preserve">两阶段优化（本文）</w:t>
            </w:r>
          </w:p>
        </w:tc>
        <w:tc>
          <w:tcPr>
            <w:tcW w:type="dxa" w:w="2076"/>
          </w:tcPr>
          <w:p>
            <w:pPr>
              <w:jc w:val="center"/>
            </w:pPr>
            <w:r>
              <w:rPr>
                <w:rFonts w:ascii="Times New Roman" w:cs="Times New Roman" w:eastAsia="Times New Roman" w:hAnsi="Times New Roman"/>
                <w:sz w:val="21"/>
                <w:szCs w:val="21"/>
              </w:rPr>
              <w:t xml:space="preserve">9,120</w:t>
            </w:r>
          </w:p>
        </w:tc>
        <w:tc>
          <w:tcPr>
            <w:tcW w:type="dxa" w:w="2077"/>
          </w:tcPr>
          <w:p>
            <w:pPr>
              <w:jc w:val="center"/>
            </w:pPr>
            <w:r>
              <w:rPr>
                <w:rFonts w:ascii="Times New Roman" w:cs="Times New Roman" w:eastAsia="Times New Roman" w:hAnsi="Times New Roman"/>
                <w:sz w:val="21"/>
                <w:szCs w:val="21"/>
              </w:rPr>
              <w:t xml:space="preserve">97.1%</w:t>
            </w:r>
          </w:p>
        </w:tc>
        <w:tc>
          <w:tcPr>
            <w:tcW w:type="dxa" w:w="2077"/>
          </w:tcPr>
          <w:p>
            <w:pPr>
              <w:jc w:val="center"/>
            </w:pPr>
            <w:r>
              <w:rPr>
                <w:rFonts w:ascii="Times New Roman" w:cs="Times New Roman" w:eastAsia="Times New Roman" w:hAnsi="Times New Roman"/>
                <w:sz w:val="21"/>
                <w:szCs w:val="21"/>
              </w:rPr>
              <w:t xml:space="preserve">3.7s</w:t>
            </w:r>
          </w:p>
        </w:tc>
      </w:tr>
    </w:tbl>
    <w:p>
      <w:pPr>
        <w:pBdr>
          <w:top w:val="single" w:color="CCCCCC" w:sz="1" w:space="1"/>
          <w:bottom w:val="single" w:color="CCCCCC" w:sz="1" w:space="1"/>
          <w:left w:val="single" w:color="CCCCCC" w:sz="1" w:space="1"/>
          <w:right w:val="single" w:color="CCCCCC" w:sz="1" w:space="1"/>
        </w:pBdr>
        <w:shd w:fill="F0F0F0" w:val="clear"/>
        <w:spacing w:after="0" w:before="120"/>
        <w:jc w:val="center"/>
      </w:pPr>
      <w:r>
        <w:rPr>
          <w:rFonts w:ascii="Times New Roman" w:cs="Times New Roman" w:eastAsia="Times New Roman" w:hAnsi="Times New Roman"/>
          <w:color w:val="666666"/>
          <w:sz w:val="21"/>
          <w:szCs w:val="21"/>
        </w:rPr>
        <w:t xml:space="preserve">（描述：24小时微电网功率调度曲线图：横轴为时间(0~24h)，纵轴为功率(kW)。四条曲线——光伏出力（黄色填充）、负荷需求（蓝色实线）、储能充放电（绿色柱状）、主网交互功率（红色虚线））</w:t>
      </w:r>
    </w:p>
    <w:p>
      <w:pPr>
        <w:spacing w:after="120" w:before="60"/>
        <w:jc w:val="center"/>
      </w:pPr>
      <w:r>
        <w:rPr>
          <w:rFonts w:ascii="Times New Roman" w:cs="Times New Roman" w:eastAsia="Times New Roman" w:hAnsi="Times New Roman"/>
          <w:b/>
          <w:bCs/>
          <w:sz w:val="21"/>
          <w:szCs w:val="21"/>
        </w:rPr>
        <w:t xml:space="preserve">图2 典型日功率调度优化结果</w:t>
      </w:r>
    </w:p>
    <w:p>
      <w:pPr>
        <w:pStyle w:val="Heading2"/>
        <w:spacing w:after="60" w:before="60" w:line="360" w:lineRule="auto"/>
        <w:jc w:val="left"/>
      </w:pPr>
      <w:r>
        <w:rPr>
          <w:rFonts w:ascii="Times New Roman" w:cs="Times New Roman" w:eastAsia="Times New Roman" w:hAnsi="Times New Roman"/>
          <w:b/>
          <w:bCs/>
          <w:sz w:val="28"/>
          <w:szCs w:val="28"/>
        </w:rPr>
        <w:t xml:space="preserve">3.3 灵敏度分析</w:t>
      </w:r>
    </w:p>
    <w:p>
      <w:pPr>
        <w:spacing w:line="360" w:lineRule="auto"/>
        <w:ind w:firstLine="480"/>
        <w:jc w:val="both"/>
      </w:pPr>
      <w:r>
        <w:rPr>
          <w:rFonts w:ascii="Times New Roman" w:cs="Times New Roman" w:eastAsia="Times New Roman" w:hAnsi="Times New Roman"/>
          <w:sz w:val="24"/>
          <w:szCs w:val="24"/>
        </w:rPr>
        <w:t xml:space="preserve">对储能容量配置进行灵敏度分析，结果表明：当储能容量从2MWh增加至6MWh时，日运行成本持续降低但边际效益递减。当储能容量超过4MWh后，成本下降速率明显放缓，表明4MWh为当前场景下的经济最优配置。</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参考文献</w:t>
      </w:r>
    </w:p>
    <w:p>
      <w:pPr>
        <w:spacing w:line="360" w:lineRule="auto"/>
        <w:ind w:left="480" w:hanging="480"/>
        <w:jc w:val="both"/>
      </w:pPr>
      <w:r>
        <w:rPr>
          <w:rFonts w:ascii="Times New Roman" w:cs="Times New Roman" w:eastAsia="Times New Roman" w:hAnsi="Times New Roman"/>
          <w:sz w:val="24"/>
          <w:szCs w:val="24"/>
        </w:rPr>
        <w:t xml:space="preserve">[1] 王伟, 张明, 李强. 含分布式光伏的微电网优化调度策略研究[J]. 电力系统自动化, 2024, 48(12): 45-53.</w:t>
      </w:r>
    </w:p>
    <w:p>
      <w:pPr>
        <w:spacing w:line="360" w:lineRule="auto"/>
        <w:ind w:left="480" w:hanging="480"/>
        <w:jc w:val="both"/>
      </w:pPr>
      <w:r>
        <w:rPr>
          <w:rFonts w:ascii="Times New Roman" w:cs="Times New Roman" w:eastAsia="Times New Roman" w:hAnsi="Times New Roman"/>
          <w:sz w:val="24"/>
          <w:szCs w:val="24"/>
        </w:rPr>
        <w:t xml:space="preserve">[2] Chen X, Wang Y, Zhang H. A two-stage robust optimization approach for microgrid energy management[J]. IEEE Trans. on Smart Grid, 2023, 14(3): 2105-2117.</w:t>
      </w:r>
    </w:p>
    <w:p>
      <w:pPr>
        <w:spacing w:line="360" w:lineRule="auto"/>
        <w:ind w:left="480" w:hanging="480"/>
        <w:jc w:val="both"/>
      </w:pPr>
      <w:r>
        <w:rPr>
          <w:rFonts w:ascii="Times New Roman" w:cs="Times New Roman" w:eastAsia="Times New Roman" w:hAnsi="Times New Roman"/>
          <w:sz w:val="24"/>
          <w:szCs w:val="24"/>
        </w:rPr>
        <w:t xml:space="preserve">[3] 刘丽华, 陈志国. 考虑需求响应的微电网日前-日内两阶段调度[J]. 中国电机工程学报, 2024, 44(8): 2891-2901.</w:t>
      </w:r>
    </w:p>
    <w:p>
      <w:pPr>
        <w:spacing w:line="360" w:lineRule="auto"/>
        <w:ind w:left="480" w:hanging="480"/>
        <w:jc w:val="both"/>
      </w:pPr>
      <w:r>
        <w:rPr>
          <w:rFonts w:ascii="Times New Roman" w:cs="Times New Roman" w:eastAsia="Times New Roman" w:hAnsi="Times New Roman"/>
          <w:sz w:val="24"/>
          <w:szCs w:val="24"/>
        </w:rPr>
        <w:t xml:space="preserve">[4] Lasseter R H. Microgrids and distributed generation[J]. Journal of Energy Engineering, 2007, 133(3): 144-149.</w:t>
      </w:r>
    </w:p>
    <w:p>
      <w:pPr>
        <w:spacing w:line="360" w:lineRule="auto"/>
        <w:ind w:left="480" w:hanging="480"/>
        <w:jc w:val="both"/>
      </w:pPr>
      <w:r>
        <w:rPr>
          <w:rFonts w:ascii="Times New Roman" w:cs="Times New Roman" w:eastAsia="Times New Roman" w:hAnsi="Times New Roman"/>
          <w:sz w:val="24"/>
          <w:szCs w:val="24"/>
        </w:rPr>
        <w:t xml:space="preserve">[5] 国家能源局. 关于推进新能源微电网示范项目建设的指导意见[S]. 2025.</w:t>
      </w:r>
    </w:p>
    <w:sectPr>
      <w:footerReference w:type="default" r:id="rId7"/>
      <w:pgSz w:w="11906" w:h="16838" w:orient="portrait"/>
      <w:pgMar w:top="1440" w:right="1800" w:bottom="1440" w:left="1800" w:header="708"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line="360" w:lineRule="auto"/>
      <w:jc w:val="left"/>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60" w:before="60" w:line="360" w:lineRule="auto"/>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60" w:line="360" w:lineRule="auto"/>
      <w:jc w:val="left"/>
      <w:outlineLvl w:val="2"/>
    </w:pPr>
    <w:rPr>
      <w:rFonts w:ascii="Times New Roman" w:cs="Times New Roman" w:eastAsia="Times New Roman" w:hAnsi="Times New Roman"/>
      <w:b/>
      <w:bCs/>
      <w:sz w:val="24"/>
      <w:szCs w:val="24"/>
    </w:rPr>
  </w:style>
  <w:style w:type="paragraph" w:styleId="Heading4">
    <w:name w:val="Heading 4"/>
    <w:basedOn w:val="Normal"/>
    <w:next w:val="Normal"/>
    <w:qFormat/>
    <w:pPr>
      <w:spacing w:after="60" w:before="60" w:line="360" w:lineRule="auto"/>
      <w:jc w:val="left"/>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2026-03-31T01:42:56.744Z</dcterms:created>
  <dcterms:modified xsi:type="dcterms:W3CDTF">2026-03-31T01:42:56.745Z</dcterms:modified>
</cp:coreProperties>
</file>

<file path=docProps/custom.xml><?xml version="1.0" encoding="utf-8"?>
<Properties xmlns="http://schemas.openxmlformats.org/officeDocument/2006/custom-properties" xmlns:vt="http://schemas.openxmlformats.org/officeDocument/2006/docPropsVTypes"/>
</file>