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_Toc21735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一、 </w:t>
          </w:r>
          <w:r>
            <w:rPr>
              <w:rFonts w:hint="eastAsia" w:ascii="宋体" w:hAnsi="宋体" w:eastAsia="宋体" w:cs="宋体"/>
              <w:bCs/>
              <w:szCs w:val="28"/>
              <w:lang w:val="en-US" w:eastAsia="zh-CN"/>
            </w:rPr>
            <w:t>人力资源背景</w:t>
          </w:r>
          <w:r>
            <w:tab/>
          </w:r>
          <w:r>
            <w:fldChar w:fldCharType="begin"/>
          </w:r>
          <w:r>
            <w:instrText xml:space="preserve"> PAGEREF _Toc21735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二、 传统人力资源招聘现状</w:t>
          </w:r>
          <w:r>
            <w:tab/>
          </w:r>
          <w:r>
            <w:fldChar w:fldCharType="begin"/>
          </w:r>
          <w:r>
            <w:instrText xml:space="preserve"> PAGEREF _Toc4156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_Toc17723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三、 </w:t>
          </w:r>
          <w:r>
            <w:rPr>
              <w:rFonts w:hint="default" w:ascii="宋体" w:hAnsi="宋体" w:eastAsia="宋体" w:cs="宋体"/>
              <w:bCs/>
              <w:szCs w:val="28"/>
              <w:lang w:val="en-US" w:eastAsia="zh-CN"/>
            </w:rPr>
            <w:t>传统人力资源市场中存在的问题</w:t>
          </w:r>
          <w:r>
            <w:tab/>
          </w:r>
          <w:r>
            <w:fldChar w:fldCharType="begin"/>
          </w:r>
          <w:r>
            <w:instrText xml:space="preserve"> PAGEREF _Toc17723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_Toc19575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_Toc19575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_Toc29322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_Toc29322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_Toc432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_Toc29197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_Toc8629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_Toc8629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_Toc16884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_Toc16884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_Toc32578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_Toc32578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_Toc10791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_Toc10791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_Toc2615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四、 区块链与人力资源管理的匹配度</w:t>
          </w:r>
          <w:r>
            <w:tab/>
          </w:r>
          <w:r>
            <w:fldChar w:fldCharType="begin"/>
          </w:r>
          <w:r>
            <w:instrText xml:space="preserve"> PAGEREF _Toc2615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_Toc27710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_Toc27710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_Toc4666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_Toc4666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_Toc1025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_Toc27558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结合区块链技术的人力资源分析</w:t>
          </w:r>
          <w:r>
            <w:tab/>
          </w:r>
          <w:r>
            <w:fldChar w:fldCharType="begin"/>
          </w:r>
          <w:r>
            <w:instrText xml:space="preserve"> PAGEREF _Toc27558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_Toc1334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_Toc1334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_Toc28858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_Toc28858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_Toc18563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基于区块链的人力资源管理方案架构</w:t>
          </w:r>
          <w:r>
            <w:tab/>
          </w:r>
          <w:r>
            <w:fldChar w:fldCharType="begin"/>
          </w:r>
          <w:r>
            <w:instrText xml:space="preserve"> PAGEREF _Toc18563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_Toc26971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_Toc26971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_Toc26792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_Toc30195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_Toc23147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_Toc23147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_Toc15916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基于区块链的人力资源管理方案业务分析及具体实施</w:t>
          </w:r>
          <w:r>
            <w:tab/>
          </w:r>
          <w:r>
            <w:fldChar w:fldCharType="begin"/>
          </w:r>
          <w:r>
            <w:instrText xml:space="preserve"> PAGEREF _Toc15916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_Toc31965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_Toc27288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_Toc27288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_Toc11502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方案执行预期效果</w:t>
          </w:r>
          <w:r>
            <w:tab/>
          </w:r>
          <w:r>
            <w:fldChar w:fldCharType="begin"/>
          </w:r>
          <w:r>
            <w:instrText xml:space="preserve"> PAGEREF _Toc11502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结语</w:t>
          </w:r>
          <w:r>
            <w:tab/>
          </w:r>
          <w:r>
            <w:fldChar w:fldCharType="begin"/>
          </w:r>
          <w:r>
            <w:instrText xml:space="preserve"> PAGEREF _Toc26758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0" w:name="_Toc21735"/>
      <w:bookmarkStart w:id="1" w:name="_Toc9232"/>
      <w:r>
        <w:rPr>
          <w:rFonts w:hint="eastAsia" w:ascii="宋体" w:hAnsi="宋体" w:eastAsia="宋体" w:cs="宋体"/>
          <w:b/>
          <w:bCs/>
          <w:sz w:val="28"/>
          <w:szCs w:val="28"/>
          <w:lang w:val="en-US" w:eastAsia="zh-CN"/>
        </w:rPr>
        <w:t>人力资源背景</w:t>
      </w:r>
      <w:bookmarkEnd w:id="0"/>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30778"/>
      <w:bookmarkStart w:id="3" w:name="_Toc4156"/>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7723"/>
      <w:bookmarkStart w:id="5" w:name="_Toc10446"/>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9575"/>
      <w:bookmarkStart w:id="7" w:name="_Toc1517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9322"/>
      <w:bookmarkStart w:id="9" w:name="_Toc2175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432"/>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29197"/>
      <w:bookmarkStart w:id="13" w:name="_Toc14290"/>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8629"/>
      <w:bookmarkStart w:id="15" w:name="_Toc2079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16884"/>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2578"/>
      <w:bookmarkStart w:id="19" w:name="_Toc30613"/>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10791"/>
      <w:bookmarkStart w:id="21" w:name="_Toc28919"/>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2615"/>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27710"/>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4666"/>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886"/>
      <w:bookmarkStart w:id="29" w:name="_Toc1025"/>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7558"/>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1334"/>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8858"/>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18563"/>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26971"/>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26792"/>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30195"/>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5"/>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5"/>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23147"/>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15916"/>
      <w:bookmarkStart w:id="40" w:name="_Toc31201"/>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31965"/>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2" w:name="_Toc27288"/>
      <w:r>
        <w:rPr>
          <w:rFonts w:hint="eastAsia" w:ascii="宋体" w:hAnsi="宋体" w:eastAsia="宋体" w:cs="宋体"/>
          <w:b/>
          <w:bCs/>
          <w:sz w:val="28"/>
          <w:szCs w:val="28"/>
          <w:u w:val="single"/>
          <w:lang w:val="en-US" w:eastAsia="zh-CN"/>
        </w:rPr>
        <w:t>具体实施：</w:t>
      </w:r>
      <w:bookmarkEnd w:id="42"/>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3" w:name="_Toc11502"/>
      <w:bookmarkStart w:id="44" w:name="_Toc3068"/>
      <w:r>
        <w:rPr>
          <w:rFonts w:hint="eastAsia" w:ascii="宋体" w:hAnsi="宋体" w:eastAsia="宋体" w:cs="宋体"/>
          <w:b/>
          <w:bCs/>
          <w:sz w:val="28"/>
          <w:szCs w:val="28"/>
          <w:lang w:val="en-US" w:eastAsia="zh-CN"/>
        </w:rPr>
        <w:t>方案执行预期效果</w:t>
      </w:r>
      <w:bookmarkEnd w:id="43"/>
      <w:bookmarkEnd w:id="44"/>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基于区块链技术的人力资源管理方案将给人力资源管理平台带来重大转型和挑战。人力资源结合区块链技术将实现人才价值的可追溯管理，而人的价值管理产业潜力巨大，人力资源管理行业将会迎来全新局面。</w:t>
      </w:r>
    </w:p>
    <w:p>
      <w:pPr>
        <w:numPr>
          <w:ilvl w:val="0"/>
          <w:numId w:val="0"/>
        </w:numPr>
        <w:spacing w:line="360" w:lineRule="auto"/>
        <w:ind w:leftChars="200" w:firstLine="560" w:firstLineChars="200"/>
        <w:jc w:val="left"/>
        <w:outlineLvl w:val="0"/>
        <w:rPr>
          <w:rFonts w:hint="eastAsia" w:ascii="宋体" w:hAnsi="宋体" w:eastAsia="宋体" w:cs="宋体"/>
          <w:b w:val="0"/>
          <w:bCs w:val="0"/>
          <w:sz w:val="28"/>
          <w:szCs w:val="28"/>
          <w:u w:val="single"/>
          <w:lang w:val="en-US" w:eastAsia="zh-CN"/>
        </w:rPr>
      </w:pPr>
      <w:r>
        <w:rPr>
          <w:rFonts w:hint="eastAsia" w:ascii="宋体" w:hAnsi="宋体" w:eastAsia="宋体" w:cs="宋体"/>
          <w:b w:val="0"/>
          <w:bCs w:val="0"/>
          <w:sz w:val="28"/>
          <w:szCs w:val="28"/>
          <w:u w:val="single"/>
          <w:lang w:val="en-US" w:eastAsia="zh-CN"/>
        </w:rPr>
        <w:t>给求职者带来的预期效果：</w:t>
      </w:r>
      <w:bookmarkStart w:id="51" w:name="_GoBack"/>
      <w:bookmarkEnd w:id="51"/>
    </w:p>
    <w:p>
      <w:pPr>
        <w:numPr>
          <w:ilvl w:val="0"/>
          <w:numId w:val="0"/>
        </w:numPr>
        <w:spacing w:line="360" w:lineRule="auto"/>
        <w:ind w:leftChars="200" w:firstLine="560" w:firstLineChars="200"/>
        <w:jc w:val="left"/>
        <w:outlineLvl w:val="0"/>
        <w:rPr>
          <w:rFonts w:hint="eastAsia" w:ascii="宋体" w:hAnsi="宋体" w:eastAsia="宋体" w:cs="宋体"/>
          <w:b w:val="0"/>
          <w:bCs w:val="0"/>
          <w:sz w:val="28"/>
          <w:szCs w:val="28"/>
          <w:u w:val="single"/>
          <w:lang w:val="en-US" w:eastAsia="zh-CN"/>
        </w:rPr>
      </w:pPr>
    </w:p>
    <w:p>
      <w:pPr>
        <w:numPr>
          <w:ilvl w:val="0"/>
          <w:numId w:val="0"/>
        </w:numPr>
        <w:spacing w:line="360" w:lineRule="auto"/>
        <w:ind w:leftChars="200" w:firstLine="560" w:firstLineChars="200"/>
        <w:jc w:val="left"/>
        <w:outlineLvl w:val="0"/>
        <w:rPr>
          <w:rFonts w:hint="eastAsia" w:ascii="宋体" w:hAnsi="宋体" w:eastAsia="宋体" w:cs="宋体"/>
          <w:b w:val="0"/>
          <w:bCs w:val="0"/>
          <w:sz w:val="28"/>
          <w:szCs w:val="28"/>
          <w:u w:val="single"/>
          <w:lang w:val="en-US" w:eastAsia="zh-CN"/>
        </w:rPr>
      </w:pPr>
    </w:p>
    <w:p>
      <w:pPr>
        <w:numPr>
          <w:ilvl w:val="0"/>
          <w:numId w:val="0"/>
        </w:numPr>
        <w:spacing w:line="360" w:lineRule="auto"/>
        <w:ind w:leftChars="200" w:firstLine="560" w:firstLineChars="200"/>
        <w:jc w:val="left"/>
        <w:outlineLvl w:val="0"/>
        <w:rPr>
          <w:rFonts w:hint="eastAsia" w:ascii="宋体" w:hAnsi="宋体" w:eastAsia="宋体" w:cs="宋体"/>
          <w:b w:val="0"/>
          <w:bCs w:val="0"/>
          <w:sz w:val="28"/>
          <w:szCs w:val="28"/>
          <w:u w:val="single"/>
          <w:lang w:val="en-US" w:eastAsia="zh-CN"/>
        </w:rPr>
      </w:pPr>
      <w:r>
        <w:rPr>
          <w:rFonts w:hint="eastAsia" w:ascii="宋体" w:hAnsi="宋体" w:eastAsia="宋体" w:cs="宋体"/>
          <w:b w:val="0"/>
          <w:bCs w:val="0"/>
          <w:sz w:val="28"/>
          <w:szCs w:val="28"/>
          <w:u w:val="single"/>
          <w:lang w:val="en-US" w:eastAsia="zh-CN"/>
        </w:rPr>
        <w:t>给招聘方带来的预期效果：</w:t>
      </w:r>
    </w:p>
    <w:p>
      <w:pPr>
        <w:numPr>
          <w:ilvl w:val="0"/>
          <w:numId w:val="0"/>
        </w:numPr>
        <w:spacing w:line="360" w:lineRule="auto"/>
        <w:ind w:leftChars="200" w:firstLine="560" w:firstLineChars="200"/>
        <w:jc w:val="left"/>
        <w:outlineLvl w:val="0"/>
        <w:rPr>
          <w:rFonts w:hint="eastAsia" w:ascii="宋体" w:hAnsi="宋体" w:eastAsia="宋体" w:cs="宋体"/>
          <w:b w:val="0"/>
          <w:bCs w:val="0"/>
          <w:sz w:val="28"/>
          <w:szCs w:val="28"/>
          <w:u w:val="single"/>
          <w:lang w:val="en-US" w:eastAsia="zh-CN"/>
        </w:rPr>
      </w:pPr>
    </w:p>
    <w:p>
      <w:pPr>
        <w:numPr>
          <w:ilvl w:val="0"/>
          <w:numId w:val="0"/>
        </w:numPr>
        <w:spacing w:line="360" w:lineRule="auto"/>
        <w:ind w:leftChars="200" w:firstLine="480" w:firstLineChars="200"/>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26758"/>
      <w:bookmarkStart w:id="46" w:name="_Toc11524"/>
      <w:r>
        <w:rPr>
          <w:rFonts w:hint="eastAsia" w:ascii="宋体" w:hAnsi="宋体" w:eastAsia="宋体" w:cs="宋体"/>
          <w:b/>
          <w:bCs/>
          <w:sz w:val="28"/>
          <w:szCs w:val="28"/>
          <w:lang w:val="en-US" w:eastAsia="zh-CN"/>
        </w:rPr>
        <w:t>结语</w:t>
      </w:r>
      <w:bookmarkEnd w:id="45"/>
      <w:bookmarkEnd w:id="46"/>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 xml:space="preserve">二是社会性。社会性反映出“人是社会关系的总和”的本质, 展现人的世界观、人生观、价值观、思维方式与行为模式,为人力资源开发运用提供依据。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p>
    <w:p>
      <w:pPr>
        <w:pStyle w:val="6"/>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spacing w:line="360" w:lineRule="auto"/>
        <w:rPr>
          <w:rFonts w:hint="default" w:ascii="宋体" w:hAnsi="宋体" w:eastAsia="宋体"/>
          <w:color w:val="000000"/>
          <w:sz w:val="23"/>
        </w:rPr>
      </w:pPr>
      <w:r>
        <w:rPr>
          <w:rFonts w:hint="default" w:ascii="宋体" w:hAnsi="宋体" w:eastAsia="宋体"/>
          <w:color w:val="000000"/>
          <w:sz w:val="24"/>
        </w:rPr>
        <w:t xml:space="preserve"> </w:t>
      </w: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6"/>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47" w:name="bookmark19"/>
      <w:bookmarkStart w:id="48" w:name="bookmark18"/>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47"/>
      <w:bookmarkEnd w:id="48"/>
    </w:p>
    <w:p>
      <w:pPr>
        <w:pStyle w:val="16"/>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49" w:name="bookmark1"/>
      <w:bookmarkStart w:id="50" w:name="bookmark0"/>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49"/>
      <w:bookmarkEnd w:id="50"/>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p>
    <w:p>
      <w:pPr>
        <w:pStyle w:val="16"/>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p>
    <w:p>
      <w:pPr>
        <w:pStyle w:val="16"/>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p>
    <w:p>
      <w:pPr>
        <w:pStyle w:val="16"/>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p>
    <w:p>
      <w:pPr>
        <w:spacing w:line="360" w:lineRule="auto"/>
        <w:rPr>
          <w:rFonts w:hint="eastAsia" w:ascii="宋体" w:hAnsi="宋体" w:eastAsia="宋体"/>
          <w:color w:val="000000"/>
          <w:sz w:val="23"/>
          <w:lang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ource Sans Pro">
    <w:panose1 w:val="020B0503030403020204"/>
    <w:charset w:val="00"/>
    <w:family w:val="auto"/>
    <w:pitch w:val="default"/>
    <w:sig w:usb0="600002F7" w:usb1="02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3">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5">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6">
    <w:nsid w:val="30D317D8"/>
    <w:multiLevelType w:val="singleLevel"/>
    <w:tmpl w:val="30D317D8"/>
    <w:lvl w:ilvl="0" w:tentative="0">
      <w:start w:val="1"/>
      <w:numFmt w:val="decimal"/>
      <w:lvlText w:val="(%1)"/>
      <w:lvlJc w:val="left"/>
      <w:pPr>
        <w:ind w:left="425" w:hanging="425"/>
      </w:pPr>
      <w:rPr>
        <w:rFonts w:hint="default"/>
      </w:rPr>
    </w:lvl>
  </w:abstractNum>
  <w:abstractNum w:abstractNumId="7">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8">
    <w:nsid w:val="7BDBE8E2"/>
    <w:multiLevelType w:val="singleLevel"/>
    <w:tmpl w:val="7BDBE8E2"/>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7"/>
  </w:num>
  <w:num w:numId="5">
    <w:abstractNumId w:val="6"/>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C43015"/>
    <w:rsid w:val="0C592DC2"/>
    <w:rsid w:val="10F464B5"/>
    <w:rsid w:val="110557E8"/>
    <w:rsid w:val="11EF669B"/>
    <w:rsid w:val="12DF4BC9"/>
    <w:rsid w:val="16A66296"/>
    <w:rsid w:val="16C13044"/>
    <w:rsid w:val="173404BB"/>
    <w:rsid w:val="174C3E31"/>
    <w:rsid w:val="190E1691"/>
    <w:rsid w:val="1A3F4E88"/>
    <w:rsid w:val="1A4443CC"/>
    <w:rsid w:val="1B667221"/>
    <w:rsid w:val="1BF33D54"/>
    <w:rsid w:val="1CA458B0"/>
    <w:rsid w:val="1CC66BDD"/>
    <w:rsid w:val="1D3119E9"/>
    <w:rsid w:val="1EC717E0"/>
    <w:rsid w:val="211208A9"/>
    <w:rsid w:val="215E7F33"/>
    <w:rsid w:val="24177BFE"/>
    <w:rsid w:val="241F31CE"/>
    <w:rsid w:val="26464CFC"/>
    <w:rsid w:val="271A038C"/>
    <w:rsid w:val="2D3565AC"/>
    <w:rsid w:val="2D572BDF"/>
    <w:rsid w:val="2DCD0749"/>
    <w:rsid w:val="301D4E6C"/>
    <w:rsid w:val="3089266F"/>
    <w:rsid w:val="31994759"/>
    <w:rsid w:val="33427994"/>
    <w:rsid w:val="335E0A52"/>
    <w:rsid w:val="37147291"/>
    <w:rsid w:val="37200197"/>
    <w:rsid w:val="37696079"/>
    <w:rsid w:val="38851872"/>
    <w:rsid w:val="39A8181A"/>
    <w:rsid w:val="3C1152E0"/>
    <w:rsid w:val="3D370AC4"/>
    <w:rsid w:val="45AA45AA"/>
    <w:rsid w:val="464D4661"/>
    <w:rsid w:val="46E34B88"/>
    <w:rsid w:val="48C47D89"/>
    <w:rsid w:val="4C792459"/>
    <w:rsid w:val="4E93139D"/>
    <w:rsid w:val="4F5323DE"/>
    <w:rsid w:val="507C237F"/>
    <w:rsid w:val="52604D4D"/>
    <w:rsid w:val="56731CC1"/>
    <w:rsid w:val="567C67C5"/>
    <w:rsid w:val="56FB0348"/>
    <w:rsid w:val="57BC132D"/>
    <w:rsid w:val="57E940AB"/>
    <w:rsid w:val="5AE942D6"/>
    <w:rsid w:val="5B121F8A"/>
    <w:rsid w:val="5B8F5510"/>
    <w:rsid w:val="5C9B4FDD"/>
    <w:rsid w:val="5CF07F74"/>
    <w:rsid w:val="5D5B52F6"/>
    <w:rsid w:val="5DFB100E"/>
    <w:rsid w:val="5E1641E6"/>
    <w:rsid w:val="5F0B6568"/>
    <w:rsid w:val="60272CCF"/>
    <w:rsid w:val="60A37C36"/>
    <w:rsid w:val="611065FF"/>
    <w:rsid w:val="61C70DCE"/>
    <w:rsid w:val="63557EA9"/>
    <w:rsid w:val="666940D6"/>
    <w:rsid w:val="66AB14A0"/>
    <w:rsid w:val="6C506CEC"/>
    <w:rsid w:val="71097576"/>
    <w:rsid w:val="73C53153"/>
    <w:rsid w:val="74EF0131"/>
    <w:rsid w:val="765C3456"/>
    <w:rsid w:val="76A17A70"/>
    <w:rsid w:val="795B1842"/>
    <w:rsid w:val="79EE58A2"/>
    <w:rsid w:val="7BB82928"/>
    <w:rsid w:val="7CDD29B7"/>
    <w:rsid w:val="7E5B428D"/>
    <w:rsid w:val="7EA426D4"/>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7">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8">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9">
    <w:name w:val="分类号"/>
    <w:basedOn w:val="1"/>
    <w:qFormat/>
    <w:uiPriority w:val="0"/>
    <w:rPr>
      <w:rFonts w:ascii="仿宋_GB2312" w:hAnsi="Times New Roman" w:eastAsia="仿宋_GB2312" w:cs="Times New Roman"/>
      <w:sz w:val="28"/>
      <w:szCs w:val="28"/>
    </w:rPr>
  </w:style>
  <w:style w:type="paragraph" w:customStyle="1" w:styleId="10">
    <w:name w:val="封面日期"/>
    <w:basedOn w:val="1"/>
    <w:qFormat/>
    <w:uiPriority w:val="0"/>
    <w:pPr>
      <w:jc w:val="center"/>
    </w:pPr>
    <w:rPr>
      <w:rFonts w:ascii="黑体" w:hAnsi="Times New Roman" w:eastAsia="黑体" w:cs="Times New Roman"/>
      <w:sz w:val="32"/>
      <w:szCs w:val="32"/>
    </w:rPr>
  </w:style>
  <w:style w:type="paragraph" w:customStyle="1" w:styleId="1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3">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5">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6">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17">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2020-12-13T14:43:28Z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