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_Toc21735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一、 </w:t>
          </w:r>
          <w:r>
            <w:rPr>
              <w:rFonts w:hint="eastAsia" w:ascii="宋体" w:hAnsi="宋体" w:eastAsia="宋体" w:cs="宋体"/>
              <w:bCs/>
              <w:szCs w:val="28"/>
              <w:lang w:val="en-US" w:eastAsia="zh-CN"/>
            </w:rPr>
            <w:t>人力资源背景</w:t>
          </w:r>
          <w:r>
            <w:tab/>
          </w:r>
          <w:r>
            <w:fldChar w:fldCharType="begin"/>
          </w:r>
          <w:r>
            <w:instrText xml:space="preserve"> PAGEREF _Toc21735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二、 传统人力资源招聘现状</w:t>
          </w:r>
          <w:r>
            <w:tab/>
          </w:r>
          <w:r>
            <w:fldChar w:fldCharType="begin"/>
          </w:r>
          <w:r>
            <w:instrText xml:space="preserve"> PAGEREF _Toc4156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_Toc17723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三、 </w:t>
          </w:r>
          <w:r>
            <w:rPr>
              <w:rFonts w:hint="default" w:ascii="宋体" w:hAnsi="宋体" w:eastAsia="宋体" w:cs="宋体"/>
              <w:bCs/>
              <w:szCs w:val="28"/>
              <w:lang w:val="en-US" w:eastAsia="zh-CN"/>
            </w:rPr>
            <w:t>传统人力资源市场中存在的问题</w:t>
          </w:r>
          <w:r>
            <w:tab/>
          </w:r>
          <w:r>
            <w:fldChar w:fldCharType="begin"/>
          </w:r>
          <w:r>
            <w:instrText xml:space="preserve"> PAGEREF _Toc17723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_Toc19575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_Toc19575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_Toc29322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_Toc29322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_Toc432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_Toc29197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_Toc8629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_Toc8629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_Toc16884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_Toc16884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_Toc32578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_Toc32578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_Toc10791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_Toc10791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_Toc2615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四、 区块链与人力资源管理的匹配度</w:t>
          </w:r>
          <w:r>
            <w:tab/>
          </w:r>
          <w:r>
            <w:fldChar w:fldCharType="begin"/>
          </w:r>
          <w:r>
            <w:instrText xml:space="preserve"> PAGEREF _Toc2615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_Toc27710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_Toc27710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_Toc4666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_Toc4666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_Toc1025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_Toc27558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结合区块链技术的人力资源分析</w:t>
          </w:r>
          <w:r>
            <w:tab/>
          </w:r>
          <w:r>
            <w:fldChar w:fldCharType="begin"/>
          </w:r>
          <w:r>
            <w:instrText xml:space="preserve"> PAGEREF _Toc27558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_Toc1334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_Toc1334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_Toc28858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_Toc28858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_Toc18563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基于区块链的人力资源管理方案架构</w:t>
          </w:r>
          <w:r>
            <w:tab/>
          </w:r>
          <w:r>
            <w:fldChar w:fldCharType="begin"/>
          </w:r>
          <w:r>
            <w:instrText xml:space="preserve"> PAGEREF _Toc18563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_Toc26971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_Toc26971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_Toc26792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_Toc30195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_Toc23147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_Toc23147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_Toc15916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基于区块链的人力资源管理方案业务分析及具体实施</w:t>
          </w:r>
          <w:r>
            <w:tab/>
          </w:r>
          <w:r>
            <w:fldChar w:fldCharType="begin"/>
          </w:r>
          <w:r>
            <w:instrText xml:space="preserve"> PAGEREF _Toc15916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_Toc31965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_Toc27288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_Toc27288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_Toc11502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方案执行预期效果</w:t>
          </w:r>
          <w:r>
            <w:tab/>
          </w:r>
          <w:r>
            <w:fldChar w:fldCharType="begin"/>
          </w:r>
          <w:r>
            <w:instrText xml:space="preserve"> PAGEREF _Toc11502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结语</w:t>
          </w:r>
          <w:r>
            <w:tab/>
          </w:r>
          <w:r>
            <w:fldChar w:fldCharType="begin"/>
          </w:r>
          <w:r>
            <w:instrText xml:space="preserve"> PAGEREF _Toc26758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9232"/>
      <w:bookmarkStart w:id="1" w:name="_Toc21735"/>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420" w:leftChars="0" w:firstLine="960" w:firstLineChars="4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当今，人力资源技术已成为商业的重要组成部分。改革开放以来，</w:t>
      </w:r>
    </w:p>
    <w:p>
      <w:pPr>
        <w:numPr>
          <w:ilvl w:val="0"/>
          <w:numId w:val="0"/>
        </w:numPr>
        <w:spacing w:line="360" w:lineRule="auto"/>
        <w:ind w:left="485" w:leftChars="231" w:firstLine="0" w:firstLineChars="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4156"/>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7723"/>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5173"/>
      <w:bookmarkStart w:id="7" w:name="_Toc19575"/>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29322"/>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432"/>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29197"/>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8629"/>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16884"/>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32578"/>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10791"/>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2615"/>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27710"/>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4666"/>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1025"/>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7558"/>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1334"/>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8858"/>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18563"/>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26971"/>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26792"/>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30195"/>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5"/>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5"/>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 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23147"/>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31201"/>
      <w:bookmarkStart w:id="40" w:name="_Toc15916"/>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31965"/>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w:t>
      </w:r>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bookmarkStart w:id="47" w:name="_GoBack"/>
      <w:bookmarkEnd w:id="47"/>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2" w:name="_Toc27288"/>
      <w:r>
        <w:rPr>
          <w:rFonts w:hint="eastAsia" w:ascii="宋体" w:hAnsi="宋体" w:eastAsia="宋体" w:cs="宋体"/>
          <w:b/>
          <w:bCs/>
          <w:sz w:val="28"/>
          <w:szCs w:val="28"/>
          <w:u w:val="single"/>
          <w:lang w:val="en-US" w:eastAsia="zh-CN"/>
        </w:rPr>
        <w:t>具体实施：</w:t>
      </w:r>
      <w:bookmarkEnd w:id="42"/>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3" w:name="_Toc3068"/>
      <w:bookmarkStart w:id="44" w:name="_Toc11502"/>
      <w:r>
        <w:rPr>
          <w:rFonts w:hint="eastAsia" w:ascii="宋体" w:hAnsi="宋体" w:eastAsia="宋体" w:cs="宋体"/>
          <w:b/>
          <w:bCs/>
          <w:sz w:val="28"/>
          <w:szCs w:val="28"/>
          <w:lang w:val="en-US" w:eastAsia="zh-CN"/>
        </w:rPr>
        <w:t>方案执行预期效果</w:t>
      </w:r>
      <w:bookmarkEnd w:id="43"/>
      <w:bookmarkEnd w:id="44"/>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11524"/>
      <w:bookmarkStart w:id="46" w:name="_Toc26758"/>
      <w:r>
        <w:rPr>
          <w:rFonts w:hint="eastAsia" w:ascii="宋体" w:hAnsi="宋体" w:eastAsia="宋体" w:cs="宋体"/>
          <w:b/>
          <w:bCs/>
          <w:sz w:val="28"/>
          <w:szCs w:val="28"/>
          <w:lang w:val="en-US" w:eastAsia="zh-CN"/>
        </w:rPr>
        <w:t>结语</w:t>
      </w:r>
      <w:bookmarkEnd w:id="45"/>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3">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5">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6">
    <w:nsid w:val="30D317D8"/>
    <w:multiLevelType w:val="singleLevel"/>
    <w:tmpl w:val="30D317D8"/>
    <w:lvl w:ilvl="0" w:tentative="0">
      <w:start w:val="1"/>
      <w:numFmt w:val="decimal"/>
      <w:lvlText w:val="(%1)"/>
      <w:lvlJc w:val="left"/>
      <w:pPr>
        <w:ind w:left="425" w:hanging="425"/>
      </w:pPr>
      <w:rPr>
        <w:rFonts w:hint="default"/>
      </w:rPr>
    </w:lvl>
  </w:abstractNum>
  <w:abstractNum w:abstractNumId="7">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8">
    <w:nsid w:val="7BDBE8E2"/>
    <w:multiLevelType w:val="singleLevel"/>
    <w:tmpl w:val="7BDBE8E2"/>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7"/>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C43015"/>
    <w:rsid w:val="10F464B5"/>
    <w:rsid w:val="110557E8"/>
    <w:rsid w:val="11EF669B"/>
    <w:rsid w:val="16A66296"/>
    <w:rsid w:val="16C13044"/>
    <w:rsid w:val="173404BB"/>
    <w:rsid w:val="174C3E31"/>
    <w:rsid w:val="190E1691"/>
    <w:rsid w:val="1A3F4E88"/>
    <w:rsid w:val="1A4443CC"/>
    <w:rsid w:val="1B667221"/>
    <w:rsid w:val="1BF33D54"/>
    <w:rsid w:val="1CA458B0"/>
    <w:rsid w:val="1CC66BDD"/>
    <w:rsid w:val="1EC717E0"/>
    <w:rsid w:val="211208A9"/>
    <w:rsid w:val="215E7F33"/>
    <w:rsid w:val="24177BFE"/>
    <w:rsid w:val="241F31CE"/>
    <w:rsid w:val="26464CFC"/>
    <w:rsid w:val="271A038C"/>
    <w:rsid w:val="2D3565AC"/>
    <w:rsid w:val="2D572BDF"/>
    <w:rsid w:val="2DCD0749"/>
    <w:rsid w:val="301D4E6C"/>
    <w:rsid w:val="3089266F"/>
    <w:rsid w:val="31994759"/>
    <w:rsid w:val="335E0A52"/>
    <w:rsid w:val="37147291"/>
    <w:rsid w:val="37200197"/>
    <w:rsid w:val="37696079"/>
    <w:rsid w:val="38851872"/>
    <w:rsid w:val="39A8181A"/>
    <w:rsid w:val="3C1152E0"/>
    <w:rsid w:val="45AA45AA"/>
    <w:rsid w:val="464D4661"/>
    <w:rsid w:val="46E34B88"/>
    <w:rsid w:val="48C47D89"/>
    <w:rsid w:val="4C792459"/>
    <w:rsid w:val="4E93139D"/>
    <w:rsid w:val="4F5323DE"/>
    <w:rsid w:val="507C237F"/>
    <w:rsid w:val="52604D4D"/>
    <w:rsid w:val="56731CC1"/>
    <w:rsid w:val="567C67C5"/>
    <w:rsid w:val="56FB0348"/>
    <w:rsid w:val="57BC132D"/>
    <w:rsid w:val="57E940AB"/>
    <w:rsid w:val="5B121F8A"/>
    <w:rsid w:val="5B8F5510"/>
    <w:rsid w:val="5C9B4FDD"/>
    <w:rsid w:val="5CF07F74"/>
    <w:rsid w:val="5D5B52F6"/>
    <w:rsid w:val="5DFB100E"/>
    <w:rsid w:val="5E1641E6"/>
    <w:rsid w:val="5F0B6568"/>
    <w:rsid w:val="60272CCF"/>
    <w:rsid w:val="60A37C36"/>
    <w:rsid w:val="611065FF"/>
    <w:rsid w:val="61C70DCE"/>
    <w:rsid w:val="63557EA9"/>
    <w:rsid w:val="666940D6"/>
    <w:rsid w:val="66AB14A0"/>
    <w:rsid w:val="6C506CEC"/>
    <w:rsid w:val="73C53153"/>
    <w:rsid w:val="74EF0131"/>
    <w:rsid w:val="76A17A70"/>
    <w:rsid w:val="795B1842"/>
    <w:rsid w:val="79EE58A2"/>
    <w:rsid w:val="7CDD29B7"/>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qFormat/>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5">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2020-12-11T14:33:51Z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