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r>
        <w:rPr>
          <w:sz w:val="21"/>
        </w:rPr>
        <mc:AlternateContent>
          <mc:Choice Requires="wps">
            <w:drawing>
              <wp:anchor distT="0" distB="0" distL="114300" distR="114300" simplePos="0" relativeHeight="251823104"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2020/11/17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823104;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2020/11/17</w:t>
                      </w:r>
                    </w:p>
                  </w:txbxContent>
                </v:textbox>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王紫繁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741184;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王紫繁</w:t>
                      </w:r>
                    </w:p>
                  </w:txbxContent>
                </v:textbox>
              </v:shape>
            </w:pict>
          </mc:Fallback>
        </mc:AlternateConten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sectPr>
          <w:pgSz w:w="11906" w:h="16838"/>
          <w:pgMar w:top="1440" w:right="1800" w:bottom="1440" w:left="1800" w:header="851" w:footer="992" w:gutter="0"/>
          <w:cols w:space="425" w:num="1"/>
          <w:docGrid w:type="lines" w:linePitch="312" w:charSpace="0"/>
        </w:sectPr>
      </w:pPr>
    </w:p>
    <w:sdt>
      <w:sdtPr>
        <w:rPr>
          <w:rFonts w:hint="eastAsia" w:asciiTheme="majorEastAsia" w:hAnsiTheme="majorEastAsia" w:eastAsiaTheme="majorEastAsia" w:cstheme="majorEastAsia"/>
          <w:b/>
          <w:bCs/>
          <w:kern w:val="2"/>
          <w:sz w:val="30"/>
          <w:szCs w:val="30"/>
          <w:lang w:val="en-US" w:eastAsia="zh-CN" w:bidi="ar-SA"/>
        </w:rPr>
        <w:id w:val="147455532"/>
        <w15:color w:val="DBDBDB"/>
        <w:docPartObj>
          <w:docPartGallery w:val="Table of Contents"/>
          <w:docPartUnique/>
        </w:docPartObj>
      </w:sdtPr>
      <w:sdtEndPr>
        <w:rPr>
          <w:rFonts w:hint="eastAsia" w:asciiTheme="minorEastAsia" w:hAnsiTheme="minorEastAsia" w:eastAsiaTheme="minorEastAsia" w:cstheme="minorEastAsia"/>
          <w:b/>
          <w:szCs w:val="24"/>
        </w:rPr>
      </w:sdtEndPr>
      <w:sdtContent>
        <w:p>
          <w:pPr>
            <w:spacing w:before="0" w:beforeLines="0" w:after="0" w:afterLines="0" w:line="360" w:lineRule="auto"/>
            <w:ind w:left="0" w:leftChars="0" w:right="0" w:rightChars="0" w:firstLine="0" w:firstLineChars="0"/>
            <w:jc w:val="center"/>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目录</w:t>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TOC \o "1-2" \h \u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_Toc17003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sz w:val="24"/>
              <w:szCs w:val="24"/>
              <w:lang w:val="en-US" w:eastAsia="zh-CN"/>
            </w:rPr>
            <w:t>一、 人力资源背景</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_Toc17003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2</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_Toc19273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sz w:val="24"/>
              <w:szCs w:val="24"/>
              <w:lang w:val="en-US" w:eastAsia="zh-CN"/>
            </w:rPr>
            <w:t>二、 传统人力资源招聘现状</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_Toc19273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3</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_Toc23612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sz w:val="24"/>
              <w:szCs w:val="24"/>
              <w:lang w:val="en-US" w:eastAsia="zh-CN"/>
            </w:rPr>
            <w:t>三、 传统人力资源市场中存在的问题</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_Toc23612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4</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_Toc30251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val="0"/>
              <w:sz w:val="24"/>
              <w:szCs w:val="24"/>
              <w:lang w:val="en-US" w:eastAsia="zh-CN"/>
            </w:rPr>
            <w:t>求职者方面：</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_Toc30251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4</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_Toc5045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（一） 信用体系不健全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_Toc5045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_Toc17412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 xml:space="preserve">（二） </w:t>
          </w:r>
          <w:r>
            <w:rPr>
              <w:rFonts w:hint="eastAsia" w:asciiTheme="minorEastAsia" w:hAnsiTheme="minorEastAsia" w:eastAsiaTheme="minorEastAsia" w:cstheme="minorEastAsia"/>
              <w:bCs/>
              <w:spacing w:val="0"/>
              <w:w w:val="100"/>
              <w:position w:val="0"/>
              <w:sz w:val="24"/>
              <w:szCs w:val="24"/>
              <w:shd w:val="clear" w:color="auto" w:fill="auto"/>
            </w:rPr>
            <w:t>信息泄露严重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_Toc17412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_Toc30590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 xml:space="preserve">（三） </w:t>
          </w:r>
          <w:r>
            <w:rPr>
              <w:rFonts w:hint="eastAsia" w:asciiTheme="minorEastAsia" w:hAnsiTheme="minorEastAsia" w:eastAsiaTheme="minorEastAsia" w:cstheme="minorEastAsia"/>
              <w:bCs/>
              <w:spacing w:val="0"/>
              <w:w w:val="100"/>
              <w:position w:val="0"/>
              <w:sz w:val="24"/>
              <w:szCs w:val="24"/>
              <w:shd w:val="clear" w:color="auto" w:fill="auto"/>
            </w:rPr>
            <w:t>价值变现困难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_Toc30590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_Toc12880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val="0"/>
              <w:sz w:val="24"/>
              <w:szCs w:val="24"/>
              <w:lang w:val="en-US" w:eastAsia="zh-CN"/>
            </w:rPr>
            <w:t>招聘者方面：</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_Toc12880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_Toc23247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（四） 人力资源招聘信息采集不精确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_Toc23247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_Toc3171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 xml:space="preserve">（五） </w:t>
          </w:r>
          <w:r>
            <w:rPr>
              <w:rFonts w:hint="eastAsia" w:asciiTheme="minorEastAsia" w:hAnsiTheme="minorEastAsia" w:eastAsiaTheme="minorEastAsia" w:cstheme="minorEastAsia"/>
              <w:bCs/>
              <w:spacing w:val="0"/>
              <w:w w:val="100"/>
              <w:position w:val="0"/>
              <w:sz w:val="24"/>
              <w:szCs w:val="24"/>
              <w:shd w:val="clear" w:color="auto" w:fill="auto"/>
            </w:rPr>
            <w:t>背调程序有困难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_Toc5281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 xml:space="preserve">（六） </w:t>
          </w:r>
          <w:r>
            <w:rPr>
              <w:rFonts w:hint="eastAsia" w:asciiTheme="minorEastAsia" w:hAnsiTheme="minorEastAsia" w:eastAsiaTheme="minorEastAsia" w:cstheme="minorEastAsia"/>
              <w:bCs/>
              <w:spacing w:val="0"/>
              <w:w w:val="100"/>
              <w:position w:val="0"/>
              <w:sz w:val="24"/>
              <w:szCs w:val="24"/>
              <w:shd w:val="clear" w:color="auto" w:fill="auto"/>
            </w:rPr>
            <w:t>成本管理不科学</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_Toc5281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_Toc2664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sz w:val="24"/>
              <w:szCs w:val="24"/>
              <w:lang w:val="en-US" w:eastAsia="zh-CN"/>
            </w:rPr>
            <w:t>四、 区块链与人力资源管理的匹配度</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_Toc2664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6</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_Toc3392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（一） 利用区块链的透明性进行招聘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_Toc3392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_Toc26907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（二） 利用区块链数据不可篡改性进行背调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_Toc26907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8306"/>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_Toc13719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Cs/>
              <w:sz w:val="24"/>
              <w:szCs w:val="24"/>
              <w:lang w:val="en-US" w:eastAsia="zh-CN"/>
            </w:rPr>
            <w:t>（三） 利用区块链去中心化进行成本管理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_Toc13719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_Toc18544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sz w:val="24"/>
              <w:szCs w:val="24"/>
              <w:lang w:val="en-US" w:eastAsia="zh-CN"/>
            </w:rPr>
            <w:t>五、 基于区块链的人力资源管理方案架构</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_Toc18544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8</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_Toc7593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sz w:val="24"/>
              <w:szCs w:val="24"/>
              <w:lang w:val="en-US" w:eastAsia="zh-CN"/>
            </w:rPr>
            <w:t>六、 基于区块链的人力资源管理方案思路及具体实施</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_Toc7593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8</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pStyle w:val="7"/>
            <w:tabs>
              <w:tab w:val="right" w:leader="dot" w:pos="8306"/>
            </w:tabs>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HYPERLINK \l _Toc20637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bCs/>
              <w:sz w:val="24"/>
              <w:szCs w:val="24"/>
              <w:lang w:val="en-US" w:eastAsia="zh-CN"/>
            </w:rPr>
            <w:t>七、 方案执行预期效果</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_Toc20637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8</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sz w:val="24"/>
              <w:szCs w:val="24"/>
            </w:rPr>
            <w:fldChar w:fldCharType="end"/>
          </w:r>
        </w:p>
        <w:p>
          <w:p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end"/>
          </w:r>
        </w:p>
      </w:sdtContent>
    </w:sdt>
    <w:p>
      <w:pPr>
        <w:numPr>
          <w:numId w:val="0"/>
        </w:numPr>
        <w:spacing w:line="360" w:lineRule="auto"/>
        <w:ind w:left="420" w:leftChars="0"/>
        <w:jc w:val="left"/>
        <w:outlineLvl w:val="0"/>
        <w:rPr>
          <w:rFonts w:hint="default" w:ascii="宋体" w:hAnsi="宋体" w:eastAsia="宋体" w:cs="宋体"/>
          <w:b/>
          <w:bCs/>
          <w:sz w:val="28"/>
          <w:szCs w:val="28"/>
          <w:lang w:val="en-US" w:eastAsia="zh-CN"/>
        </w:rPr>
      </w:pPr>
      <w:bookmarkStart w:id="0" w:name="_Toc17003"/>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r>
        <w:rPr>
          <w:rFonts w:hint="eastAsia" w:ascii="宋体" w:hAnsi="宋体" w:eastAsia="宋体" w:cs="宋体"/>
          <w:b/>
          <w:bCs/>
          <w:sz w:val="28"/>
          <w:szCs w:val="28"/>
          <w:lang w:val="en-US" w:eastAsia="zh-CN"/>
        </w:rPr>
        <w:t>人力资源背景</w:t>
      </w:r>
      <w:bookmarkEnd w:id="0"/>
    </w:p>
    <w:p>
      <w:pPr>
        <w:numPr>
          <w:ilvl w:val="0"/>
          <w:numId w:val="0"/>
        </w:numPr>
        <w:spacing w:line="360" w:lineRule="auto"/>
        <w:ind w:left="420" w:leftChars="0" w:firstLine="960" w:firstLineChars="4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当今，人力资源技术已成为商业的重要组成部分。改革开放以来，</w:t>
      </w:r>
    </w:p>
    <w:p>
      <w:pPr>
        <w:numPr>
          <w:ilvl w:val="0"/>
          <w:numId w:val="0"/>
        </w:numPr>
        <w:spacing w:line="360" w:lineRule="auto"/>
        <w:ind w:left="485" w:leftChars="231" w:firstLine="0" w:firstLineChars="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1" w:name="_Toc19273"/>
      <w:r>
        <w:rPr>
          <w:rFonts w:hint="eastAsia" w:ascii="宋体" w:hAnsi="宋体" w:eastAsia="宋体" w:cs="宋体"/>
          <w:b/>
          <w:bCs/>
          <w:sz w:val="28"/>
          <w:szCs w:val="28"/>
          <w:lang w:val="en-US" w:eastAsia="zh-CN"/>
        </w:rPr>
        <w:t>传统人力资源招聘现状</w:t>
      </w:r>
      <w:bookmarkEnd w:id="1"/>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23612"/>
      <w:r>
        <w:rPr>
          <w:rFonts w:hint="default" w:ascii="宋体" w:hAnsi="宋体" w:eastAsia="宋体" w:cs="宋体"/>
          <w:b/>
          <w:bCs/>
          <w:sz w:val="28"/>
          <w:szCs w:val="28"/>
          <w:lang w:val="en-US" w:eastAsia="zh-CN"/>
        </w:rPr>
        <w:t>传统人力资源市场中存在的问题</w:t>
      </w:r>
      <w:bookmarkEnd w:id="2"/>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3" w:name="_Toc30251"/>
      <w:r>
        <w:rPr>
          <w:rFonts w:hint="eastAsia" w:ascii="宋体" w:hAnsi="宋体" w:eastAsia="宋体" w:cs="宋体"/>
          <w:b w:val="0"/>
          <w:bCs w:val="0"/>
          <w:sz w:val="28"/>
          <w:szCs w:val="28"/>
          <w:u w:val="single"/>
          <w:lang w:val="en-US" w:eastAsia="zh-CN"/>
        </w:rPr>
        <w:t>求职者方面：</w:t>
      </w:r>
      <w:bookmarkEnd w:id="3"/>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4" w:name="_Toc5045"/>
      <w:r>
        <w:rPr>
          <w:rFonts w:hint="eastAsia" w:ascii="宋体" w:hAnsi="宋体" w:eastAsia="宋体" w:cs="宋体"/>
          <w:b/>
          <w:bCs/>
          <w:sz w:val="24"/>
          <w:szCs w:val="24"/>
          <w:lang w:val="en-US" w:eastAsia="zh-CN"/>
        </w:rPr>
        <w:t>信用体系不健全</w:t>
      </w:r>
      <w:bookmarkEnd w:id="4"/>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 码验证便可注册登录，求职者的信息真实性无法得到保障, 同时，企事业单位在招聘网站上面注册虽然有一定的门槛, 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5" w:name="_Toc17412"/>
      <w:r>
        <w:rPr>
          <w:b/>
          <w:bCs/>
          <w:color w:val="000000"/>
          <w:spacing w:val="0"/>
          <w:w w:val="100"/>
          <w:position w:val="0"/>
          <w:sz w:val="24"/>
          <w:szCs w:val="24"/>
          <w:shd w:val="clear" w:color="auto" w:fill="auto"/>
        </w:rPr>
        <w:t>信息泄露严重</w:t>
      </w:r>
      <w:bookmarkEnd w:id="5"/>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 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6" w:name="_Toc30590"/>
      <w:r>
        <w:rPr>
          <w:b/>
          <w:bCs/>
          <w:color w:val="000000"/>
          <w:spacing w:val="0"/>
          <w:w w:val="100"/>
          <w:position w:val="0"/>
          <w:sz w:val="24"/>
          <w:szCs w:val="24"/>
          <w:shd w:val="clear" w:color="auto" w:fill="auto"/>
        </w:rPr>
        <w:t>价值变现困难</w:t>
      </w:r>
      <w:bookmarkEnd w:id="6"/>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 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 影响求职的成功率。《中国互联网络发展状况统计报告》显示，截至2017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00"/>
          <w:spacing w:val="0"/>
          <w:w w:val="100"/>
          <w:position w:val="0"/>
          <w:sz w:val="24"/>
          <w:szCs w:val="24"/>
          <w:u w:val="singl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7" w:name="_Toc12880"/>
      <w:r>
        <w:rPr>
          <w:rFonts w:hint="eastAsia" w:ascii="宋体" w:hAnsi="宋体" w:eastAsia="宋体" w:cs="宋体"/>
          <w:b w:val="0"/>
          <w:bCs w:val="0"/>
          <w:sz w:val="28"/>
          <w:szCs w:val="28"/>
          <w:u w:val="single"/>
          <w:lang w:val="en-US" w:eastAsia="zh-CN"/>
        </w:rPr>
        <w:t>招聘者方面：</w:t>
      </w:r>
      <w:bookmarkEnd w:id="7"/>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8" w:name="_Toc23247"/>
      <w:r>
        <w:rPr>
          <w:rFonts w:hint="default" w:ascii="宋体" w:hAnsi="宋体" w:eastAsia="宋体" w:cs="宋体"/>
          <w:b/>
          <w:bCs/>
          <w:sz w:val="24"/>
          <w:szCs w:val="24"/>
          <w:u w:val="none"/>
          <w:lang w:val="en-US" w:eastAsia="zh-CN"/>
        </w:rPr>
        <w:t>人力资源招聘信息采集不精确</w:t>
      </w:r>
      <w:bookmarkEnd w:id="8"/>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9" w:name="_Toc3171"/>
      <w:r>
        <w:rPr>
          <w:b/>
          <w:bCs/>
          <w:spacing w:val="0"/>
          <w:w w:val="100"/>
          <w:position w:val="0"/>
          <w:sz w:val="24"/>
          <w:szCs w:val="24"/>
          <w:shd w:val="clear" w:color="auto" w:fill="auto"/>
        </w:rPr>
        <w:t>背调程序有困难</w:t>
      </w:r>
      <w:bookmarkEnd w:id="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 或简历中包含表述不准确、篡改历史，甚至出现虚 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10" w:name="_Toc5281"/>
      <w:r>
        <w:rPr>
          <w:b/>
          <w:bCs/>
          <w:spacing w:val="0"/>
          <w:w w:val="100"/>
          <w:position w:val="0"/>
          <w:sz w:val="24"/>
          <w:szCs w:val="24"/>
          <w:shd w:val="clear" w:color="auto" w:fill="auto"/>
        </w:rPr>
        <w:t>成本管理不科学</w:t>
      </w:r>
      <w:bookmarkEnd w:id="10"/>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 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11" w:name="_Toc2664"/>
      <w:r>
        <w:rPr>
          <w:rFonts w:hint="eastAsia" w:ascii="宋体" w:hAnsi="宋体" w:eastAsia="宋体" w:cs="宋体"/>
          <w:b/>
          <w:bCs/>
          <w:sz w:val="28"/>
          <w:szCs w:val="28"/>
          <w:lang w:val="en-US" w:eastAsia="zh-CN"/>
        </w:rPr>
        <w:t>区块链与人力资源管理的匹配度</w:t>
      </w:r>
      <w:bookmarkEnd w:id="11"/>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12" w:name="_Toc3392"/>
      <w:r>
        <w:rPr>
          <w:rFonts w:hint="default" w:ascii="宋体" w:hAnsi="宋体" w:eastAsia="宋体" w:cs="宋体"/>
          <w:b/>
          <w:bCs/>
          <w:sz w:val="24"/>
          <w:szCs w:val="24"/>
          <w:lang w:val="en-US" w:eastAsia="zh-CN"/>
        </w:rPr>
        <w:t>利用区块链的透明性进行招聘</w:t>
      </w:r>
      <w:bookmarkEnd w:id="12"/>
    </w:p>
    <w:p>
      <w:pPr>
        <w:numPr>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13" w:name="_Toc26907"/>
      <w:r>
        <w:rPr>
          <w:rFonts w:hint="default" w:ascii="宋体" w:hAnsi="宋体" w:eastAsia="宋体" w:cs="宋体"/>
          <w:b/>
          <w:bCs/>
          <w:sz w:val="24"/>
          <w:szCs w:val="24"/>
          <w:lang w:val="en-US" w:eastAsia="zh-CN"/>
        </w:rPr>
        <w:t>利用区块链数据不可篡改性进行背调</w:t>
      </w:r>
      <w:bookmarkEnd w:id="13"/>
    </w:p>
    <w:p>
      <w:pPr>
        <w:numPr>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14" w:name="_Toc13719"/>
      <w:r>
        <w:rPr>
          <w:rFonts w:hint="default" w:ascii="宋体" w:hAnsi="宋体" w:eastAsia="宋体" w:cs="宋体"/>
          <w:b/>
          <w:bCs/>
          <w:sz w:val="24"/>
          <w:szCs w:val="24"/>
          <w:lang w:val="en-US" w:eastAsia="zh-CN"/>
        </w:rPr>
        <w:t>利用区块链去中心化进行成本管理</w:t>
      </w:r>
      <w:bookmarkEnd w:id="14"/>
    </w:p>
    <w:p>
      <w:pPr>
        <w:numPr>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yellow"/>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yellow"/>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15" w:name="_Toc18544"/>
      <w:r>
        <w:rPr>
          <w:rFonts w:hint="eastAsia" w:ascii="宋体" w:hAnsi="宋体" w:eastAsia="宋体" w:cs="宋体"/>
          <w:b/>
          <w:bCs/>
          <w:sz w:val="28"/>
          <w:szCs w:val="28"/>
          <w:lang w:val="en-US" w:eastAsia="zh-CN"/>
        </w:rPr>
        <w:t>基于区块链的人力资源管理方案架构</w:t>
      </w:r>
      <w:bookmarkEnd w:id="15"/>
    </w:p>
    <w:p>
      <w:pPr>
        <w:numPr>
          <w:ilvl w:val="0"/>
          <w:numId w:val="4"/>
        </w:numPr>
        <w:spacing w:line="360" w:lineRule="auto"/>
        <w:ind w:left="0" w:leftChars="0" w:firstLine="420" w:firstLine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技术架构</w:t>
      </w:r>
    </w:p>
    <w:p>
      <w:pPr>
        <w:numPr>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管理构架图</w:t>
      </w:r>
    </w:p>
    <w:p>
      <w:pPr>
        <w:numPr>
          <w:ilvl w:val="0"/>
          <w:numId w:val="4"/>
        </w:numPr>
        <w:spacing w:line="360" w:lineRule="auto"/>
        <w:ind w:left="0" w:leftChars="0" w:firstLine="420" w:firstLine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功能架构</w:t>
      </w:r>
      <w:bookmarkStart w:id="18" w:name="_GoBack"/>
      <w:bookmarkEnd w:id="18"/>
    </w:p>
    <w:p>
      <w:pPr>
        <w:numPr>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5"/>
        </w:numPr>
        <w:spacing w:line="360" w:lineRule="auto"/>
        <w:ind w:left="845" w:leftChars="0" w:hanging="425" w:firstLineChars="0"/>
        <w:jc w:val="left"/>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5"/>
        </w:numPr>
        <w:spacing w:line="360" w:lineRule="auto"/>
        <w:ind w:left="845" w:leftChars="0" w:hanging="425" w:firstLineChars="0"/>
        <w:jc w:val="left"/>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p>
    <w:p>
      <w:pPr>
        <w:numPr>
          <w:ilvl w:val="0"/>
          <w:numId w:val="5"/>
        </w:numPr>
        <w:spacing w:line="360" w:lineRule="auto"/>
        <w:ind w:left="845" w:leftChars="0" w:hanging="425" w:firstLineChars="0"/>
        <w:jc w:val="left"/>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p>
    <w:p>
      <w:pPr>
        <w:numPr>
          <w:numId w:val="0"/>
        </w:numPr>
        <w:spacing w:line="360" w:lineRule="auto"/>
        <w:ind w:leftChars="0"/>
        <w:jc w:val="left"/>
        <w:rPr>
          <w:rFonts w:hint="default" w:ascii="Arial" w:hAnsi="Arial" w:eastAsia="宋体" w:cs="Arial"/>
          <w:i w:val="0"/>
          <w:caps w:val="0"/>
          <w:color w:val="4D4D4D"/>
          <w:spacing w:val="0"/>
          <w:sz w:val="24"/>
          <w:szCs w:val="24"/>
          <w:shd w:val="clear" w:fill="FFFFFF"/>
          <w:lang w:val="en-US" w:eastAsia="zh-CN"/>
        </w:rPr>
      </w:pPr>
    </w:p>
    <w:p>
      <w:pPr>
        <w:numPr>
          <w:ilvl w:val="0"/>
          <w:numId w:val="4"/>
        </w:numPr>
        <w:spacing w:line="360" w:lineRule="auto"/>
        <w:ind w:left="0" w:leftChars="0" w:firstLine="420" w:firstLine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信息上链</w:t>
      </w:r>
    </w:p>
    <w:p>
      <w:pPr>
        <w:numPr>
          <w:numId w:val="0"/>
        </w:numPr>
        <w:spacing w:line="360" w:lineRule="auto"/>
        <w:ind w:left="420" w:leftChars="0"/>
        <w:jc w:val="left"/>
        <w:rPr>
          <w:rFonts w:hint="default" w:ascii="宋体" w:hAnsi="宋体" w:eastAsia="宋体" w:cs="宋体"/>
          <w:b/>
          <w:bCs/>
          <w:sz w:val="24"/>
          <w:szCs w:val="24"/>
          <w:lang w:val="en-US" w:eastAsia="zh-CN"/>
        </w:rPr>
      </w:pPr>
    </w:p>
    <w:p>
      <w:pPr>
        <w:numPr>
          <w:ilvl w:val="0"/>
          <w:numId w:val="0"/>
        </w:numPr>
        <w:spacing w:line="360" w:lineRule="auto"/>
        <w:jc w:val="both"/>
        <w:rPr>
          <w:rFonts w:hint="default" w:ascii="宋体" w:hAnsi="宋体" w:eastAsia="宋体" w:cs="宋体"/>
          <w:sz w:val="24"/>
          <w:szCs w:val="24"/>
          <w:lang w:val="en-US" w:eastAsia="zh-CN"/>
        </w:rPr>
      </w:pPr>
    </w:p>
    <w:p>
      <w:pPr>
        <w:numPr>
          <w:numId w:val="0"/>
        </w:numPr>
        <w:spacing w:line="360" w:lineRule="auto"/>
        <w:ind w:left="420" w:leftChars="0"/>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16" w:name="_Toc7593"/>
      <w:r>
        <w:rPr>
          <w:rFonts w:hint="eastAsia" w:ascii="宋体" w:hAnsi="宋体" w:eastAsia="宋体" w:cs="宋体"/>
          <w:b/>
          <w:bCs/>
          <w:sz w:val="28"/>
          <w:szCs w:val="28"/>
          <w:lang w:val="en-US" w:eastAsia="zh-CN"/>
        </w:rPr>
        <w:t>基于区块链的人力资源管理方案业务分析及具体实施</w:t>
      </w:r>
      <w:bookmarkEnd w:id="16"/>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17" w:name="_Toc20637"/>
      <w:r>
        <w:rPr>
          <w:rFonts w:hint="eastAsia" w:ascii="宋体" w:hAnsi="宋体" w:eastAsia="宋体" w:cs="宋体"/>
          <w:b/>
          <w:bCs/>
          <w:sz w:val="28"/>
          <w:szCs w:val="28"/>
          <w:lang w:val="en-US" w:eastAsia="zh-CN"/>
        </w:rPr>
        <w:t>方案执行预期效果</w:t>
      </w:r>
      <w:bookmarkEnd w:id="17"/>
    </w:p>
    <w:p>
      <w:pPr>
        <w:numPr>
          <w:ilvl w:val="0"/>
          <w:numId w:val="0"/>
        </w:numPr>
        <w:spacing w:line="360" w:lineRule="auto"/>
        <w:ind w:left="420" w:leftChars="0"/>
        <w:jc w:val="left"/>
        <w:rPr>
          <w:rFonts w:hint="default" w:ascii="宋体" w:hAnsi="宋体" w:eastAsia="宋体" w:cs="宋体"/>
          <w:b/>
          <w:bCs/>
          <w:sz w:val="30"/>
          <w:szCs w:val="30"/>
          <w:lang w:val="en-US" w:eastAsia="zh-CN"/>
        </w:rPr>
      </w:pPr>
    </w:p>
    <w:p>
      <w:pPr>
        <w:bidi w:val="0"/>
        <w:spacing w:line="360" w:lineRule="auto"/>
        <w:rPr>
          <w:rFonts w:hint="default" w:asciiTheme="minorHAnsi" w:hAnsiTheme="minorHAnsi" w:eastAsiaTheme="minorEastAsia" w:cstheme="minorBidi"/>
          <w:kern w:val="2"/>
          <w:sz w:val="21"/>
          <w:szCs w:val="24"/>
          <w:lang w:val="en-US" w:eastAsia="zh-CN" w:bidi="ar-SA"/>
        </w:rPr>
      </w:pPr>
    </w:p>
    <w:p>
      <w:pPr>
        <w:bidi w:val="0"/>
        <w:spacing w:line="360" w:lineRule="auto"/>
        <w:rPr>
          <w:rFonts w:hint="default"/>
          <w:lang w:val="en-US" w:eastAsia="zh-CN"/>
        </w:rPr>
      </w:pPr>
    </w:p>
    <w:p>
      <w:pPr>
        <w:bidi w:val="0"/>
        <w:spacing w:line="360" w:lineRule="auto"/>
        <w:rPr>
          <w:rFonts w:hint="default"/>
          <w:lang w:val="en-US" w:eastAsia="zh-CN"/>
        </w:rPr>
      </w:pPr>
    </w:p>
    <w:p>
      <w:pPr>
        <w:tabs>
          <w:tab w:val="left" w:pos="1045"/>
        </w:tabs>
        <w:bidi w:val="0"/>
        <w:spacing w:line="360" w:lineRule="auto"/>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icrosoft Sans Serif">
    <w:panose1 w:val="020B0604020202020204"/>
    <w:charset w:val="00"/>
    <w:family w:val="auto"/>
    <w:pitch w:val="default"/>
    <w:sig w:usb0="E5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2">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3">
    <w:nsid w:val="35708F19"/>
    <w:multiLevelType w:val="singleLevel"/>
    <w:tmpl w:val="35708F19"/>
    <w:lvl w:ilvl="0" w:tentative="0">
      <w:start w:val="1"/>
      <w:numFmt w:val="decimal"/>
      <w:lvlText w:val="%1."/>
      <w:lvlJc w:val="left"/>
      <w:pPr>
        <w:ind w:left="425" w:hanging="425"/>
      </w:pPr>
      <w:rPr>
        <w:rFonts w:hint="default"/>
      </w:rPr>
    </w:lvl>
  </w:abstractNum>
  <w:abstractNum w:abstractNumId="4">
    <w:nsid w:val="6C5D033A"/>
    <w:multiLevelType w:val="singleLevel"/>
    <w:tmpl w:val="6C5D033A"/>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C73A49"/>
    <w:rsid w:val="088F20B7"/>
    <w:rsid w:val="16A66296"/>
    <w:rsid w:val="173404BB"/>
    <w:rsid w:val="190E1691"/>
    <w:rsid w:val="1A3F4E88"/>
    <w:rsid w:val="1B667221"/>
    <w:rsid w:val="1CA458B0"/>
    <w:rsid w:val="24177BFE"/>
    <w:rsid w:val="26464CFC"/>
    <w:rsid w:val="271A038C"/>
    <w:rsid w:val="2D3565AC"/>
    <w:rsid w:val="2D572BDF"/>
    <w:rsid w:val="37696079"/>
    <w:rsid w:val="38851872"/>
    <w:rsid w:val="39A8181A"/>
    <w:rsid w:val="46E34B88"/>
    <w:rsid w:val="4E93139D"/>
    <w:rsid w:val="507C237F"/>
    <w:rsid w:val="56731CC1"/>
    <w:rsid w:val="567C67C5"/>
    <w:rsid w:val="57BC132D"/>
    <w:rsid w:val="5B121F8A"/>
    <w:rsid w:val="5C9B4FDD"/>
    <w:rsid w:val="5CF07F74"/>
    <w:rsid w:val="5DFB100E"/>
    <w:rsid w:val="60272CCF"/>
    <w:rsid w:val="60A37C36"/>
    <w:rsid w:val="611065FF"/>
    <w:rsid w:val="61C70DCE"/>
    <w:rsid w:val="66AB14A0"/>
    <w:rsid w:val="6C506CEC"/>
    <w:rsid w:val="79EE58A2"/>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paragraph" w:customStyle="1" w:styleId="6">
    <w:name w:val="正文文本1"/>
    <w:basedOn w:val="1"/>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7">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8">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9">
    <w:name w:val="分类号"/>
    <w:basedOn w:val="1"/>
    <w:qFormat/>
    <w:uiPriority w:val="0"/>
    <w:rPr>
      <w:rFonts w:ascii="仿宋_GB2312" w:hAnsi="Times New Roman" w:eastAsia="仿宋_GB2312" w:cs="Times New Roman"/>
      <w:sz w:val="28"/>
      <w:szCs w:val="28"/>
    </w:rPr>
  </w:style>
  <w:style w:type="paragraph" w:customStyle="1" w:styleId="10">
    <w:name w:val="封面日期"/>
    <w:basedOn w:val="1"/>
    <w:uiPriority w:val="0"/>
    <w:pPr>
      <w:jc w:val="center"/>
    </w:pPr>
    <w:rPr>
      <w:rFonts w:ascii="黑体" w:hAnsi="Times New Roman" w:eastAsia="黑体" w:cs="Times New Roman"/>
      <w:sz w:val="32"/>
      <w:szCs w:val="32"/>
    </w:rPr>
  </w:style>
  <w:style w:type="paragraph" w:customStyle="1" w:styleId="1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3">
    <w:name w:val="研究生姓名"/>
    <w:basedOn w:val="1"/>
    <w:uiPriority w:val="0"/>
    <w:pPr>
      <w:ind w:firstLine="700" w:firstLineChars="700"/>
    </w:pPr>
    <w:rPr>
      <w:rFonts w:ascii="Times New Roman" w:hAnsi="Times New Roman" w:eastAsia="宋体" w:cs="Times New Roman"/>
      <w:sz w:val="28"/>
      <w:szCs w:val="28"/>
    </w:rPr>
  </w:style>
  <w:style w:type="paragraph" w:customStyle="1" w:styleId="14">
    <w:name w:val="Default"/>
    <w:unhideWhenUsed/>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2020-11-29T16:04:11Z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