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3558B">
      <w:pPr>
        <w:pStyle w:val="4"/>
        <w:rPr>
          <w:rFonts w:hint="eastAsia" w:ascii="宋体" w:hAnsi="宋体" w:eastAsia="宋体" w:cs="宋体"/>
          <w:color w:val="auto"/>
        </w:rPr>
      </w:pPr>
      <w:bookmarkStart w:id="0" w:name="算法介绍"/>
      <w:r>
        <w:rPr>
          <w:rFonts w:hint="eastAsia" w:ascii="宋体" w:hAnsi="宋体" w:eastAsia="宋体" w:cs="宋体"/>
          <w:color w:val="auto"/>
        </w:rPr>
        <w:t>算法介绍</w:t>
      </w:r>
    </w:p>
    <w:p w14:paraId="68FED998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（1）</w:t>
      </w:r>
      <w:r>
        <w:rPr>
          <w:rFonts w:hint="eastAsia" w:ascii="宋体" w:hAnsi="宋体" w:eastAsia="宋体" w:cs="宋体"/>
          <w:b/>
          <w:bCs/>
          <w:color w:val="auto"/>
        </w:rPr>
        <w:t>MDX23C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基于频域掩码学习与竞赛验证的工程化模型，在人声分离与整体稳健性方面表现均衡，可作为高效基线。</w:t>
      </w:r>
    </w:p>
    <w:p w14:paraId="120F3F4E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（2）</w:t>
      </w:r>
      <w:r>
        <w:rPr>
          <w:rFonts w:hint="eastAsia" w:ascii="宋体" w:hAnsi="宋体" w:eastAsia="宋体" w:cs="宋体"/>
          <w:b/>
          <w:bCs/>
          <w:color w:val="auto"/>
        </w:rPr>
        <w:t>Demucs4HT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 xml:space="preserve">Demucs v4 </w:t>
      </w:r>
      <w:r>
        <w:rPr>
          <w:rFonts w:hint="eastAsia" w:ascii="宋体" w:hAnsi="宋体" w:eastAsia="宋体" w:cs="宋体"/>
          <w:color w:val="auto"/>
        </w:rPr>
        <w:t>的</w:t>
      </w:r>
      <w:r>
        <w:rPr>
          <w:rFonts w:hint="eastAsia" w:ascii="宋体" w:hAnsi="宋体" w:eastAsia="宋体" w:cs="宋体"/>
          <w:color w:val="auto"/>
        </w:rPr>
        <w:t xml:space="preserve"> Hybrid Transformer </w:t>
      </w:r>
      <w:r>
        <w:rPr>
          <w:rFonts w:hint="eastAsia" w:ascii="宋体" w:hAnsi="宋体" w:eastAsia="宋体" w:cs="宋体"/>
          <w:color w:val="auto"/>
        </w:rPr>
        <w:t>变体，融合时域与频域建模能力，通常在分离质量上具备较强竞争力。</w:t>
      </w:r>
    </w:p>
    <w:p w14:paraId="17B21E0B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（3）</w:t>
      </w:r>
      <w:r>
        <w:rPr>
          <w:rFonts w:hint="eastAsia" w:ascii="宋体" w:hAnsi="宋体" w:eastAsia="宋体" w:cs="宋体"/>
          <w:b/>
          <w:bCs/>
          <w:color w:val="auto"/>
        </w:rPr>
        <w:t>Band Split RoFormer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采用频带切分与</w:t>
      </w:r>
      <w:r>
        <w:rPr>
          <w:rFonts w:hint="eastAsia" w:ascii="宋体" w:hAnsi="宋体" w:eastAsia="宋体" w:cs="宋体"/>
          <w:color w:val="auto"/>
        </w:rPr>
        <w:t xml:space="preserve"> RoFormer </w:t>
      </w:r>
      <w:r>
        <w:rPr>
          <w:rFonts w:hint="eastAsia" w:ascii="宋体" w:hAnsi="宋体" w:eastAsia="宋体" w:cs="宋体"/>
          <w:color w:val="auto"/>
        </w:rPr>
        <w:t>建模，对不同频带进行针对性表示学习，在复杂编配场景中常有较好表现。</w:t>
      </w:r>
    </w:p>
    <w:p w14:paraId="5B8FABF9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（4）</w:t>
      </w:r>
      <w:r>
        <w:rPr>
          <w:rFonts w:hint="eastAsia" w:ascii="宋体" w:hAnsi="宋体" w:eastAsia="宋体" w:cs="宋体"/>
          <w:b/>
          <w:bCs/>
          <w:color w:val="auto"/>
        </w:rPr>
        <w:t>SCNet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作为本文自研模型的主干参考基线，用于评估“注意力机制</w:t>
      </w:r>
      <w:r>
        <w:rPr>
          <w:rFonts w:hint="eastAsia" w:ascii="宋体" w:hAnsi="宋体" w:eastAsia="宋体" w:cs="宋体"/>
          <w:color w:val="auto"/>
        </w:rPr>
        <w:t xml:space="preserve"> + LoRA </w:t>
      </w:r>
      <w:r>
        <w:rPr>
          <w:rFonts w:hint="eastAsia" w:ascii="宋体" w:hAnsi="宋体" w:eastAsia="宋体" w:cs="宋体"/>
          <w:color w:val="auto"/>
        </w:rPr>
        <w:t>微调”带来的增益。</w:t>
      </w:r>
    </w:p>
    <w:p w14:paraId="64949F91">
      <w:pPr>
        <w:pStyle w:val="3"/>
        <w:rPr>
          <w:rFonts w:hint="eastAsia" w:ascii="宋体" w:hAnsi="宋体" w:eastAsia="宋体" w:cs="宋体"/>
          <w:color w:val="auto"/>
        </w:rPr>
      </w:pPr>
    </w:p>
    <w:bookmarkEnd w:id="0"/>
    <w:p w14:paraId="7BCC120F">
      <w:pPr>
        <w:pStyle w:val="4"/>
        <w:rPr>
          <w:rFonts w:hint="eastAsia" w:ascii="宋体" w:hAnsi="宋体" w:eastAsia="宋体" w:cs="宋体"/>
          <w:color w:val="auto"/>
        </w:rPr>
      </w:pPr>
      <w:bookmarkStart w:id="1" w:name="评价指标"/>
      <w:r>
        <w:rPr>
          <w:rFonts w:hint="eastAsia" w:ascii="宋体" w:hAnsi="宋体" w:eastAsia="宋体" w:cs="宋体"/>
          <w:color w:val="auto"/>
        </w:rPr>
        <w:t>评价指标</w:t>
      </w:r>
    </w:p>
    <w:p w14:paraId="6031E606">
      <w:pPr>
        <w:pStyle w:val="5"/>
        <w:rPr>
          <w:rFonts w:hint="eastAsia" w:ascii="宋体" w:hAnsi="宋体" w:eastAsia="宋体" w:cs="宋体"/>
          <w:color w:val="auto"/>
        </w:rPr>
      </w:pPr>
      <w:bookmarkStart w:id="2" w:name="Xe2330c9963d5948091739e0b1ead6eea79e7a52"/>
      <w:r>
        <w:rPr>
          <w:rFonts w:hint="eastAsia" w:ascii="宋体" w:hAnsi="宋体" w:eastAsia="宋体" w:cs="宋体"/>
          <w:color w:val="auto"/>
        </w:rPr>
        <w:t xml:space="preserve">1. </w:t>
      </w:r>
      <w:r>
        <w:rPr>
          <w:rFonts w:hint="eastAsia" w:ascii="宋体" w:hAnsi="宋体" w:eastAsia="宋体" w:cs="宋体"/>
          <w:color w:val="auto"/>
        </w:rPr>
        <w:t>客观指标</w:t>
      </w:r>
    </w:p>
    <w:p w14:paraId="7D74F058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客观评价部分采用</w:t>
      </w:r>
      <w:r>
        <w:rPr>
          <w:rFonts w:hint="eastAsia" w:ascii="宋体" w:hAnsi="宋体" w:eastAsia="宋体" w:cs="宋体"/>
          <w:color w:val="auto"/>
        </w:rPr>
        <w:t xml:space="preserve"> BSS Eval </w:t>
      </w:r>
      <w:r>
        <w:rPr>
          <w:rFonts w:hint="eastAsia" w:ascii="宋体" w:hAnsi="宋体" w:eastAsia="宋体" w:cs="宋体"/>
          <w:color w:val="auto"/>
        </w:rPr>
        <w:t>系列指标。按照</w:t>
      </w:r>
      <w:r>
        <w:rPr>
          <w:rFonts w:hint="eastAsia" w:ascii="宋体" w:hAnsi="宋体" w:eastAsia="宋体" w:cs="宋体"/>
          <w:color w:val="auto"/>
        </w:rPr>
        <w:t xml:space="preserve"> BSS Eval </w:t>
      </w:r>
      <w:r>
        <w:rPr>
          <w:rFonts w:hint="eastAsia" w:ascii="宋体" w:hAnsi="宋体" w:eastAsia="宋体" w:cs="宋体"/>
          <w:color w:val="auto"/>
        </w:rPr>
        <w:t>的定义，模型估计信号可分解为目标分量与三类误差分量[文献引用]：</w:t>
      </w:r>
    </w:p>
    <w:p w14:paraId="01D08BE5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acc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e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宋体" w:cs="宋体"/>
                  <w:b w:val="0"/>
                  <w:i w:val="0"/>
                  <w:color w:val="auto"/>
                </w:rPr>
                <m:t>spat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e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宋体" w:cs="宋体"/>
                  <w:b w:val="0"/>
                  <w:i w:val="0"/>
                  <w:color w:val="auto"/>
                </w:rPr>
                <m:t>interf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+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e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ascii="Cambria Math" w:hAnsi="Cambria Math" w:eastAsia="宋体" w:cs="宋体"/>
                  <w:b w:val="0"/>
                  <w:i w:val="0"/>
                  <w:color w:val="auto"/>
                </w:rPr>
                <m:t>artif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</m:oMath>
      </m:oMathPara>
    </w:p>
    <w:p w14:paraId="11F53753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其中，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s</m:t>
        </m:r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为参考源信号，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color w:val="auto"/>
              </w:rPr>
              <m:t>spat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为空间（或滤波）失真误差，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color w:val="auto"/>
              </w:rPr>
              <m:t>interf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为其他源泄露引起的干扰误差，</w:t>
      </w:r>
      <m:oMath>
        <m:sSub>
          <m:sSubPr>
            <m:ctrlPr>
              <w:rPr>
                <w:rFonts w:hint="eastAsia" w:ascii="Cambria Math" w:hAnsi="Cambria Math" w:eastAsia="宋体" w:cs="宋体"/>
                <w:color w:val="auto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auto"/>
              </w:rPr>
              <m:t>e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color w:val="auto"/>
              </w:rPr>
              <m:t>artif</m:t>
            </m:r>
            <m:ctrlPr>
              <w:rPr>
                <w:rFonts w:hint="eastAsia" w:ascii="Cambria Math" w:hAnsi="Cambria Math" w:eastAsia="宋体" w:cs="宋体"/>
                <w:color w:val="auto"/>
              </w:rPr>
            </m:ctrlPr>
          </m:sub>
        </m:sSub>
      </m:oMath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为算法额外引入的伪影误差。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上述误差项可通过投影矩阵来计算：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D91E5D8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eqArr>
            <m:eqArr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qArrPr>
            <m:e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&amp;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=Π{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}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e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a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&amp;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=Π{(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)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≤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′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≤</m:t>
                  </m:r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}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e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spat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&amp;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acc>
                    <m:acc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e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interf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&amp;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P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acc>
                    <m:acc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spat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e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artif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&amp;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acc>
                    <m:acc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j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spat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interf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eqArr>
        </m:oMath>
      </m:oMathPara>
    </w:p>
    <w:p w14:paraId="4C27D5E3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基于此可定义一下三个客观指标：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</w:rPr>
        <w:t>源失真比（SDR）：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7BFCC5CA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SDR=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10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log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10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spat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interf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artif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</m:oMath>
      </m:oMathPara>
    </w:p>
    <w:p w14:paraId="4E549020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源干扰比（SIR）：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5987F6CA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SIR=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10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log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10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spat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interf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</m:oMath>
      </m:oMathPara>
    </w:p>
    <w:p w14:paraId="297B8A38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>源伪影比（SAR）：</w:t>
      </w:r>
      <w:r>
        <w:rPr>
          <w:rFonts w:hint="eastAsia" w:ascii="宋体" w:hAnsi="宋体" w:eastAsia="宋体" w:cs="宋体"/>
          <w:color w:val="auto"/>
        </w:rPr>
        <w:t xml:space="preserve"> </w:t>
      </w:r>
    </w:p>
    <w:p w14:paraId="0C199986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SAR=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10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log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10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spat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interf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e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宋体" w:cs="宋体"/>
                      <w:b w:val="0"/>
                      <w:i w:val="0"/>
                      <w:color w:val="auto"/>
                    </w:rPr>
                    <m:t>artif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b>
              </m:sSub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</m:oMath>
      </m:oMathPara>
    </w:p>
    <w:p w14:paraId="1AB39890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除</w:t>
      </w:r>
      <w:r>
        <w:rPr>
          <w:rFonts w:hint="eastAsia" w:ascii="宋体" w:hAnsi="宋体" w:eastAsia="宋体" w:cs="宋体"/>
          <w:color w:val="auto"/>
        </w:rPr>
        <w:t xml:space="preserve"> BSS Eval </w:t>
      </w:r>
      <w:r>
        <w:rPr>
          <w:rFonts w:hint="eastAsia" w:ascii="宋体" w:hAnsi="宋体" w:eastAsia="宋体" w:cs="宋体"/>
          <w:color w:val="auto"/>
        </w:rPr>
        <w:t>外，本文同时采用尺度不变源失真比（SI-SDR）[文献引用]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进行补充评价，其定义为：</w:t>
      </w:r>
    </w:p>
    <w:p w14:paraId="30354874">
      <w:pPr>
        <w:pStyle w:val="3"/>
        <w:rPr>
          <w:rFonts w:hint="eastAsia" w:ascii="宋体" w:hAnsi="宋体" w:eastAsia="宋体" w:cs="宋体"/>
          <w:color w:val="auto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SI</m:t>
          </m:r>
          <m:r>
            <m:rPr>
              <m:nor/>
              <m:sty m:val="p"/>
            </m:rPr>
            <w:rPr>
              <w:rFonts w:hint="eastAsia" w:ascii="Cambria Math" w:hAnsi="Cambria Math" w:eastAsia="宋体" w:cs="宋体"/>
              <w:color w:val="auto"/>
            </w:rPr>
            <m:t>-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SDR(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acc>
            <m:acc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accPr>
            <m:e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)=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10</m:t>
          </m:r>
          <m:sSub>
            <m:sSub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log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10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sub>
          </m:sSub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αs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αs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−</m:t>
              </m:r>
              <m:acc>
                <m:acc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s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</m:acc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,</m:t>
          </m:r>
          <m:r>
            <m:rPr/>
            <w:rPr>
              <w:rFonts w:hint="eastAsia" w:ascii="Cambria Math" w:hAnsi="Cambria Math" w:eastAsia="宋体" w:cs="宋体"/>
              <w:color w:val="auto"/>
            </w:rPr>
            <m:t> α</m:t>
          </m:r>
          <m:r>
            <m:rPr>
              <m:sty m:val="p"/>
            </m:rPr>
            <w:rPr>
              <w:rFonts w:hint="eastAsia" w:ascii="Cambria Math" w:hAnsi="Cambria Math" w:eastAsia="宋体" w:cs="宋体"/>
              <w:color w:val="auto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acc>
                    <m:accP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auto"/>
                        </w:rPr>
                        <m:t>s</m:t>
                      </m:r>
                      <m:ctrlPr>
                        <w:rPr>
                          <w:rFonts w:hint="eastAsia" w:ascii="Cambria Math" w:hAnsi="Cambria Math" w:eastAsia="宋体" w:cs="宋体"/>
                          <w:color w:val="auto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⊤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auto"/>
                </w:rPr>
                <m:t>∥</m:t>
              </m:r>
              <m:r>
                <m:rPr/>
                <w:rPr>
                  <w:rFonts w:hint="eastAsia" w:ascii="Cambria Math" w:hAnsi="Cambria Math" w:eastAsia="宋体" w:cs="宋体"/>
                  <w:color w:val="auto"/>
                </w:rPr>
                <m:t>s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auto"/>
                    </w:rPr>
                    <m:t>∥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auto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auto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color w:val="auto"/>
                </w:rPr>
              </m:ctrlPr>
            </m:den>
          </m:f>
        </m:oMath>
      </m:oMathPara>
    </w:p>
    <w:p w14:paraId="3AC765EA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 xml:space="preserve">SI-SDR </w:t>
      </w:r>
      <w:r>
        <w:rPr>
          <w:rFonts w:hint="eastAsia" w:ascii="宋体" w:hAnsi="宋体" w:eastAsia="宋体" w:cs="宋体"/>
          <w:color w:val="auto"/>
        </w:rPr>
        <w:t>对整体增益缩放不敏感，更适合比较不同模型在重建结构上的真实差异；同时其可微特性也使其常被用于训练损失设计。</w:t>
      </w:r>
    </w:p>
    <w:p w14:paraId="67C7D63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实验统计时，本文对</w:t>
      </w:r>
      <w:r>
        <w:rPr>
          <w:rFonts w:hint="eastAsia" w:ascii="宋体" w:hAnsi="宋体" w:eastAsia="宋体" w:cs="宋体"/>
          <w:color w:val="auto"/>
        </w:rPr>
        <w:t xml:space="preserve"> Vocals、Drums、Bass、Other </w:t>
      </w:r>
      <w:r>
        <w:rPr>
          <w:rFonts w:hint="eastAsia" w:ascii="宋体" w:hAnsi="宋体" w:eastAsia="宋体" w:cs="宋体"/>
          <w:color w:val="auto"/>
        </w:rPr>
        <w:t>四个</w:t>
      </w:r>
      <w:r>
        <w:rPr>
          <w:rFonts w:hint="eastAsia" w:ascii="宋体" w:hAnsi="宋体" w:eastAsia="宋体" w:cs="宋体"/>
          <w:color w:val="auto"/>
        </w:rPr>
        <w:t xml:space="preserve"> stem </w:t>
      </w:r>
      <w:r>
        <w:rPr>
          <w:rFonts w:hint="eastAsia" w:ascii="宋体" w:hAnsi="宋体" w:eastAsia="宋体" w:cs="宋体"/>
          <w:color w:val="auto"/>
        </w:rPr>
        <w:t>分别计算</w:t>
      </w:r>
      <w:r>
        <w:rPr>
          <w:rFonts w:hint="eastAsia" w:ascii="宋体" w:hAnsi="宋体" w:eastAsia="宋体" w:cs="宋体"/>
          <w:color w:val="auto"/>
        </w:rPr>
        <w:t xml:space="preserve"> SDR、SIR、SAR </w:t>
      </w:r>
      <w:r>
        <w:rPr>
          <w:rFonts w:hint="eastAsia" w:ascii="宋体" w:hAnsi="宋体" w:eastAsia="宋体" w:cs="宋体"/>
          <w:color w:val="auto"/>
        </w:rPr>
        <w:t>与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SI-SDR，并报告宏平均（Macro</w:t>
      </w:r>
      <w:r>
        <w:rPr>
          <w:rFonts w:hint="eastAsia" w:ascii="宋体" w:hAnsi="宋体" w:eastAsia="宋体" w:cs="宋体"/>
          <w:color w:val="auto"/>
        </w:rPr>
        <w:t xml:space="preserve"> </w:t>
      </w:r>
      <w:r>
        <w:rPr>
          <w:rFonts w:hint="eastAsia" w:ascii="宋体" w:hAnsi="宋体" w:eastAsia="宋体" w:cs="宋体"/>
          <w:color w:val="auto"/>
        </w:rPr>
        <w:t>Avg）作为整体性能。为降低异常样本影响，结果以</w:t>
      </w:r>
      <w:r>
        <w:rPr>
          <w:rFonts w:hint="eastAsia" w:ascii="宋体" w:hAnsi="宋体" w:eastAsia="宋体" w:cs="宋体"/>
          <w:color w:val="auto"/>
        </w:rPr>
        <w:t xml:space="preserve"> Mean±Std </w:t>
      </w:r>
      <w:r>
        <w:rPr>
          <w:rFonts w:hint="eastAsia" w:ascii="宋体" w:hAnsi="宋体" w:eastAsia="宋体" w:cs="宋体"/>
          <w:color w:val="auto"/>
        </w:rPr>
        <w:t>形式汇报。</w:t>
      </w:r>
      <w:bookmarkStart w:id="9" w:name="_GoBack"/>
      <w:bookmarkEnd w:id="9"/>
    </w:p>
    <w:bookmarkEnd w:id="2"/>
    <w:p w14:paraId="63A2FB7F">
      <w:pPr>
        <w:pStyle w:val="5"/>
        <w:rPr>
          <w:rFonts w:hint="eastAsia" w:ascii="宋体" w:hAnsi="宋体" w:eastAsia="宋体" w:cs="宋体"/>
          <w:color w:val="auto"/>
        </w:rPr>
      </w:pPr>
      <w:bookmarkStart w:id="3" w:name="Xeb6de0dd42899ea35ece76142668726c8393035"/>
      <w:r>
        <w:rPr>
          <w:rFonts w:hint="eastAsia" w:ascii="宋体" w:hAnsi="宋体" w:eastAsia="宋体" w:cs="宋体"/>
          <w:color w:val="auto"/>
        </w:rPr>
        <w:t xml:space="preserve">2. </w:t>
      </w:r>
      <w:r>
        <w:rPr>
          <w:rFonts w:hint="eastAsia" w:ascii="宋体" w:hAnsi="宋体" w:eastAsia="宋体" w:cs="宋体"/>
          <w:color w:val="auto"/>
        </w:rPr>
        <w:t>主观指标</w:t>
      </w:r>
    </w:p>
    <w:p w14:paraId="63D16711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观评价用于衡量分离结果在真实听感上的可用性，重点关注“是否好听、是否自然、是否干净”。与客观指标相比，主观指标更能反映最终用户体验。在音乐源分离的研究中，音乐源分离的主观评价主要通过听力测试来实现，由于听力测试的实现较为困难，目前大多数文献仍很少使用听力测试，尽管研究表明应该高度重视听力测试[12]。因此本文将主观评价作为客观评价的重要补充。</w:t>
      </w:r>
    </w:p>
    <w:p w14:paraId="50A8D0CD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主观评价实验流程参考</w:t>
      </w:r>
      <w:r>
        <w:rPr>
          <w:rFonts w:hint="eastAsia" w:ascii="宋体" w:hAnsi="宋体" w:eastAsia="宋体" w:cs="宋体"/>
          <w:color w:val="auto"/>
        </w:rPr>
        <w:t xml:space="preserve"> ITU-R </w:t>
      </w:r>
      <w:r>
        <w:rPr>
          <w:rFonts w:hint="eastAsia" w:ascii="宋体" w:hAnsi="宋体" w:eastAsia="宋体" w:cs="宋体"/>
          <w:color w:val="auto"/>
        </w:rPr>
        <w:t>BS.1534-1（MUSHRA）规范[15]，采用双盲的多激励音频信号听音比较测试方法。选用有经验的音频专家进行培训以熟悉测听过程、统一评分尺度并降低个体理解差异，再开展正式实验、</w:t>
      </w:r>
    </w:p>
    <w:p w14:paraId="583B55D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(1) </w:t>
      </w:r>
      <w:r>
        <w:rPr>
          <w:rFonts w:hint="eastAsia" w:ascii="宋体" w:hAnsi="宋体" w:eastAsia="宋体" w:cs="宋体"/>
          <w:b/>
          <w:bCs/>
          <w:color w:val="auto"/>
        </w:rPr>
        <w:t>音质（Quality）</w:t>
      </w:r>
      <w:r>
        <w:rPr>
          <w:rFonts w:hint="eastAsia" w:ascii="宋体" w:hAnsi="宋体" w:eastAsia="宋体" w:cs="宋体"/>
          <w:color w:val="auto"/>
        </w:rPr>
        <w:t>：衡量整体清晰度、保真度与自然度，关注是否存在明显失真或音色劣化。</w:t>
      </w:r>
    </w:p>
    <w:p w14:paraId="62175E78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(2) </w:t>
      </w:r>
      <w:r>
        <w:rPr>
          <w:rFonts w:hint="eastAsia" w:ascii="宋体" w:hAnsi="宋体" w:eastAsia="宋体" w:cs="宋体"/>
          <w:b/>
          <w:bCs/>
          <w:color w:val="auto"/>
        </w:rPr>
        <w:t>干扰抑制（Interference）</w:t>
      </w:r>
      <w:r>
        <w:rPr>
          <w:rFonts w:hint="eastAsia" w:ascii="宋体" w:hAnsi="宋体" w:eastAsia="宋体" w:cs="宋体"/>
          <w:color w:val="auto"/>
        </w:rPr>
        <w:t>：衡量目标</w:t>
      </w:r>
      <w:r>
        <w:rPr>
          <w:rFonts w:hint="eastAsia" w:ascii="宋体" w:hAnsi="宋体" w:eastAsia="宋体" w:cs="宋体"/>
          <w:color w:val="auto"/>
        </w:rPr>
        <w:t xml:space="preserve"> stem </w:t>
      </w:r>
      <w:r>
        <w:rPr>
          <w:rFonts w:hint="eastAsia" w:ascii="宋体" w:hAnsi="宋体" w:eastAsia="宋体" w:cs="宋体"/>
          <w:color w:val="auto"/>
        </w:rPr>
        <w:t>中非目标声部残留程度（如人声中残留鼓或贝斯）。</w:t>
      </w:r>
    </w:p>
    <w:p w14:paraId="05DBE3DC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bCs/>
          <w:color w:val="auto"/>
        </w:rPr>
        <w:t xml:space="preserve">(3) </w:t>
      </w:r>
      <w:r>
        <w:rPr>
          <w:rFonts w:hint="eastAsia" w:ascii="宋体" w:hAnsi="宋体" w:eastAsia="宋体" w:cs="宋体"/>
          <w:b/>
          <w:bCs/>
          <w:color w:val="auto"/>
        </w:rPr>
        <w:t>伪影控制（Artifacts）</w:t>
      </w:r>
      <w:r>
        <w:rPr>
          <w:rFonts w:hint="eastAsia" w:ascii="宋体" w:hAnsi="宋体" w:eastAsia="宋体" w:cs="宋体"/>
          <w:color w:val="auto"/>
        </w:rPr>
        <w:t>：衡量算法引入的非自然成分，如金属音、抖动感、断续感等。</w:t>
      </w:r>
    </w:p>
    <w:p w14:paraId="6B816F8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主观评分采用</w:t>
      </w:r>
      <w:r>
        <w:rPr>
          <w:rFonts w:hint="eastAsia" w:ascii="宋体" w:hAnsi="宋体" w:eastAsia="宋体" w:cs="宋体"/>
          <w:color w:val="auto"/>
        </w:rPr>
        <w:t xml:space="preserve"> 1~5 </w:t>
      </w:r>
      <w:r>
        <w:rPr>
          <w:rFonts w:hint="eastAsia" w:ascii="宋体" w:hAnsi="宋体" w:eastAsia="宋体" w:cs="宋体"/>
          <w:color w:val="auto"/>
        </w:rPr>
        <w:t>分李克特量表，最终统计各算法在各</w:t>
      </w:r>
      <w:r>
        <w:rPr>
          <w:rFonts w:hint="eastAsia" w:ascii="宋体" w:hAnsi="宋体" w:eastAsia="宋体" w:cs="宋体"/>
          <w:color w:val="auto"/>
        </w:rPr>
        <w:t xml:space="preserve"> stem </w:t>
      </w:r>
      <w:r>
        <w:rPr>
          <w:rFonts w:hint="eastAsia" w:ascii="宋体" w:hAnsi="宋体" w:eastAsia="宋体" w:cs="宋体"/>
          <w:color w:val="auto"/>
        </w:rPr>
        <w:t>上的三维均值并进行横向比较</w:t>
      </w:r>
    </w:p>
    <w:bookmarkEnd w:id="3"/>
    <w:p w14:paraId="52498465">
      <w:pPr>
        <w:pStyle w:val="5"/>
        <w:rPr>
          <w:rFonts w:hint="eastAsia" w:ascii="宋体" w:hAnsi="宋体" w:eastAsia="宋体" w:cs="宋体"/>
          <w:color w:val="auto"/>
        </w:rPr>
      </w:pPr>
      <w:bookmarkStart w:id="4" w:name="X7b1480df7b3c73584c37fc7e9698ad9ac20be7d"/>
      <w:r>
        <w:rPr>
          <w:rFonts w:hint="eastAsia" w:ascii="宋体" w:hAnsi="宋体" w:eastAsia="宋体" w:cs="宋体"/>
          <w:color w:val="auto"/>
        </w:rPr>
        <w:t xml:space="preserve">3. </w:t>
      </w:r>
      <w:r>
        <w:rPr>
          <w:rFonts w:hint="eastAsia" w:ascii="宋体" w:hAnsi="宋体" w:eastAsia="宋体" w:cs="宋体"/>
          <w:color w:val="auto"/>
        </w:rPr>
        <w:t>辅助评价手段</w:t>
      </w:r>
    </w:p>
    <w:p w14:paraId="384B26AF">
      <w:pPr>
        <w:pStyle w:val="24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（1）残差试听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构造残差信号</w:t>
      </w:r>
      <w:r>
        <w:rPr>
          <w:rFonts w:hint="eastAsia" w:ascii="宋体" w:hAnsi="宋体" w:eastAsia="宋体" w:cs="宋体"/>
          <w:color w:val="auto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auto"/>
          </w:rPr>
          <m:t>r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=</m:t>
        </m:r>
        <m:r>
          <m:rPr/>
          <w:rPr>
            <w:rFonts w:hint="eastAsia" w:ascii="Cambria Math" w:hAnsi="Cambria Math" w:eastAsia="宋体" w:cs="宋体"/>
            <w:color w:val="auto"/>
          </w:rPr>
          <m:t>x</m:t>
        </m:r>
        <m:r>
          <m:rPr>
            <m:sty m:val="p"/>
          </m:rPr>
          <w:rPr>
            <w:rFonts w:hint="eastAsia" w:ascii="Cambria Math" w:hAnsi="Cambria Math" w:eastAsia="宋体" w:cs="宋体"/>
            <w:color w:val="auto"/>
          </w:rPr>
          <m:t>−</m:t>
        </m:r>
        <m:r>
          <m:rPr/>
          <w:rPr>
            <w:rFonts w:hint="eastAsia" w:ascii="Cambria Math" w:hAnsi="Cambria Math" w:eastAsia="宋体" w:cs="宋体"/>
            <w:color w:val="auto"/>
          </w:rPr>
          <m:t>y</m:t>
        </m:r>
      </m:oMath>
      <w:r>
        <w:rPr>
          <w:rFonts w:hint="eastAsia" w:ascii="宋体" w:hAnsi="宋体" w:eastAsia="宋体" w:cs="宋体"/>
          <w:color w:val="auto"/>
        </w:rPr>
        <w:t>（混合信号减去目标分离估计），通过听辨残差中的能量分布和频谱特征，判断算法对特定频段或乐器的分离不足。</w:t>
      </w:r>
    </w:p>
    <w:p w14:paraId="4FEB0E0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（2）波形与频谱可视化</w:t>
      </w:r>
      <w:r>
        <w:rPr>
          <w:rFonts w:hint="eastAsia" w:ascii="宋体" w:hAnsi="宋体" w:eastAsia="宋体" w:cs="宋体"/>
          <w:color w:val="auto"/>
        </w:rPr>
        <w:br w:type="textWrapping"/>
      </w:r>
      <w:r>
        <w:rPr>
          <w:rFonts w:hint="eastAsia" w:ascii="宋体" w:hAnsi="宋体" w:eastAsia="宋体" w:cs="宋体"/>
          <w:color w:val="auto"/>
        </w:rPr>
        <w:t>提供时域波形包络对比图、短时傅里叶变换（STFT）频谱对比图和频率响应曲线，直观展示分离前后的能量迁移、频段保留与误差集中区域，为客观指标结论提供可解释证据。可视化本身不作为独立评分指标，主要服务于主观听评中的问题定位与证据呈现，并用于主客观结果一致性的可解释分析。</w:t>
      </w:r>
    </w:p>
    <w:bookmarkEnd w:id="1"/>
    <w:bookmarkEnd w:id="4"/>
    <w:p w14:paraId="2EA47C9C">
      <w:pPr>
        <w:pStyle w:val="4"/>
        <w:rPr>
          <w:rFonts w:hint="eastAsia" w:ascii="宋体" w:hAnsi="宋体" w:eastAsia="宋体" w:cs="宋体"/>
          <w:color w:val="auto"/>
        </w:rPr>
      </w:pPr>
      <w:bookmarkStart w:id="5" w:name="数据集"/>
      <w:r>
        <w:rPr>
          <w:rFonts w:hint="eastAsia" w:ascii="宋体" w:hAnsi="宋体" w:eastAsia="宋体" w:cs="宋体"/>
          <w:color w:val="auto"/>
        </w:rPr>
        <w:t>数据集</w:t>
      </w:r>
    </w:p>
    <w:p w14:paraId="0DA38518">
      <w:pPr>
        <w:pStyle w:val="24"/>
        <w:rPr>
          <w:rFonts w:hint="eastAsia" w:ascii="宋体" w:hAnsi="宋体" w:eastAsia="宋体" w:cs="宋体"/>
          <w:color w:val="auto"/>
        </w:rPr>
      </w:pPr>
    </w:p>
    <w:p w14:paraId="247BDEA6">
      <w:pPr>
        <w:pStyle w:val="3"/>
        <w:rPr>
          <w:rFonts w:hint="eastAsia" w:ascii="宋体" w:hAnsi="宋体" w:eastAsia="宋体" w:cs="宋体"/>
          <w:color w:val="auto"/>
        </w:rPr>
      </w:pPr>
    </w:p>
    <w:bookmarkEnd w:id="5"/>
    <w:p w14:paraId="08951D2E">
      <w:pPr>
        <w:pStyle w:val="4"/>
        <w:rPr>
          <w:rFonts w:hint="eastAsia" w:ascii="宋体" w:hAnsi="宋体" w:eastAsia="宋体" w:cs="宋体"/>
          <w:color w:val="auto"/>
        </w:rPr>
      </w:pPr>
      <w:bookmarkStart w:id="6" w:name="实验设计"/>
      <w:r>
        <w:rPr>
          <w:rFonts w:hint="eastAsia" w:ascii="宋体" w:hAnsi="宋体" w:eastAsia="宋体" w:cs="宋体"/>
          <w:color w:val="auto"/>
        </w:rPr>
        <w:t>实验设计</w:t>
      </w:r>
    </w:p>
    <w:p w14:paraId="481C8C8D">
      <w:pPr>
        <w:pStyle w:val="24"/>
        <w:rPr>
          <w:rFonts w:hint="eastAsia" w:ascii="宋体" w:hAnsi="宋体" w:eastAsia="宋体" w:cs="宋体"/>
          <w:color w:val="auto"/>
        </w:rPr>
      </w:pPr>
    </w:p>
    <w:p w14:paraId="09DF697B">
      <w:pPr>
        <w:pStyle w:val="3"/>
        <w:rPr>
          <w:rFonts w:hint="eastAsia" w:ascii="宋体" w:hAnsi="宋体" w:eastAsia="宋体" w:cs="宋体"/>
          <w:color w:val="auto"/>
        </w:rPr>
      </w:pPr>
    </w:p>
    <w:bookmarkEnd w:id="6"/>
    <w:p w14:paraId="7716E10E">
      <w:pPr>
        <w:pStyle w:val="4"/>
        <w:rPr>
          <w:rFonts w:hint="eastAsia" w:ascii="宋体" w:hAnsi="宋体" w:eastAsia="宋体" w:cs="宋体"/>
          <w:color w:val="auto"/>
        </w:rPr>
      </w:pPr>
      <w:bookmarkStart w:id="7" w:name="实验结果对比"/>
      <w:r>
        <w:rPr>
          <w:rFonts w:hint="eastAsia" w:ascii="宋体" w:hAnsi="宋体" w:eastAsia="宋体" w:cs="宋体"/>
          <w:color w:val="auto"/>
        </w:rPr>
        <w:t>实验结果对比</w:t>
      </w:r>
    </w:p>
    <w:p w14:paraId="2D014B69">
      <w:pPr>
        <w:pStyle w:val="24"/>
        <w:rPr>
          <w:rFonts w:hint="eastAsia" w:ascii="宋体" w:hAnsi="宋体" w:eastAsia="宋体" w:cs="宋体"/>
          <w:color w:val="auto"/>
        </w:rPr>
      </w:pPr>
    </w:p>
    <w:p w14:paraId="72C2D029">
      <w:pPr>
        <w:pStyle w:val="3"/>
        <w:rPr>
          <w:rFonts w:hint="eastAsia" w:ascii="宋体" w:hAnsi="宋体" w:eastAsia="宋体" w:cs="宋体"/>
          <w:color w:val="auto"/>
        </w:rPr>
      </w:pPr>
    </w:p>
    <w:bookmarkEnd w:id="7"/>
    <w:p w14:paraId="783A258B">
      <w:pPr>
        <w:pStyle w:val="4"/>
        <w:rPr>
          <w:rFonts w:hint="eastAsia" w:ascii="宋体" w:hAnsi="宋体" w:eastAsia="宋体" w:cs="宋体"/>
          <w:color w:val="auto"/>
        </w:rPr>
      </w:pPr>
      <w:bookmarkStart w:id="8" w:name="结果分析"/>
      <w:r>
        <w:rPr>
          <w:rFonts w:hint="eastAsia" w:ascii="宋体" w:hAnsi="宋体" w:eastAsia="宋体" w:cs="宋体"/>
          <w:color w:val="auto"/>
        </w:rPr>
        <w:t>结果分析</w:t>
      </w:r>
    </w:p>
    <w:p w14:paraId="40C4C7DF">
      <w:pPr>
        <w:pStyle w:val="24"/>
        <w:rPr>
          <w:rFonts w:hint="eastAsia" w:ascii="宋体" w:hAnsi="宋体" w:eastAsia="宋体" w:cs="宋体"/>
          <w:color w:val="auto"/>
        </w:rPr>
      </w:pPr>
    </w:p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0EF23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character" w:customStyle="1" w:styleId="23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1266</Words>
  <Characters>1639</Characters>
  <Lines>12</Lines>
  <Paragraphs>8</Paragraphs>
  <TotalTime>6</TotalTime>
  <ScaleCrop>false</ScaleCrop>
  <LinksUpToDate>false</LinksUpToDate>
  <CharactersWithSpaces>1701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2026-03-22T11:34:00Z</dcterms:created>
  <dc:creator>WPS_1627136482</dc:creator>
  <cp:lastModifiedBy>WPS_1627136482</cp:lastModifiedBy>
  <dcterms:modified xsi:type="dcterms:W3CDTF">2026-03-22T11:35:20Z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eyJoZGlkIjoiMGQ4MjIyZmY4N2ZhNTZkZWRkNzAyZTQ0ZTY0ZWU0NTQiLCJ1c2VySWQiOiIxMjM3NDY0NjYzIn0=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4639DC968BD94498894EE25C1CDEF422_12</vt:lpwstr>
  </property>
</Properties>
</file>