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786DC7">
      <w:pPr>
        <w:jc w:val="center"/>
      </w:pPr>
      <w:r>
        <w:rPr>
          <w:rFonts w:ascii="宋体" w:hAnsi="宋体" w:eastAsia="宋体"/>
          <w:b/>
          <w:sz w:val="32"/>
        </w:rPr>
        <w:t>附图说明</w:t>
      </w:r>
    </w:p>
    <w:p w14:paraId="5C9BC2B2">
      <w:r>
        <w:rPr>
          <w:rFonts w:ascii="宋体" w:hAnsi="宋体" w:eastAsia="宋体"/>
          <w:b/>
          <w:sz w:val="24"/>
        </w:rPr>
        <w:t>图1  问题解决逻辑图</w:t>
      </w:r>
    </w:p>
    <w:p w14:paraId="51A27AED">
      <w:r>
        <w:rPr>
          <w:rFonts w:ascii="宋体" w:hAnsi="宋体" w:eastAsia="宋体"/>
          <w:sz w:val="22"/>
        </w:rPr>
        <w:t>本图展示了本发明所要解决的三个核心问题及其对应的技术方案。左侧列出算法评估中存在的三大痛点：实验数据分散存储缺乏统一管理、主客观评估割裂难以全面衡量算法性能、数据可视化困难结果对比不方便。右侧对应给出本发明的解决思路——构建统一数据管理平台、建立主客观协同评估机制、提供交互式可视化分析工具。该图明确了本发明的工程目标与设计出发点。</w:t>
      </w:r>
    </w:p>
    <w:p w14:paraId="4A73DA8F">
      <w:pPr>
        <w:jc w:val="center"/>
      </w:pPr>
      <w:r>
        <w:drawing>
          <wp:inline distT="0" distB="0" distL="114300" distR="114300">
            <wp:extent cx="5303520" cy="3358515"/>
            <wp:effectExtent l="0" t="0" r="508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59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8270"/>
    <w:p w14:paraId="1E606841"/>
    <w:p w14:paraId="584D54EE"/>
    <w:p w14:paraId="450CC8A9"/>
    <w:p w14:paraId="42382A08"/>
    <w:p w14:paraId="34D8F976"/>
    <w:p w14:paraId="45172F61">
      <w:pPr>
        <w:rPr>
          <w:sz w:val="22"/>
          <w:szCs w:val="21"/>
        </w:rPr>
      </w:pPr>
    </w:p>
    <w:p w14:paraId="4FD21672"/>
    <w:p w14:paraId="32CFC845">
      <w:r>
        <w:rPr>
          <w:rFonts w:ascii="宋体" w:hAnsi="宋体" w:eastAsia="宋体"/>
          <w:b/>
          <w:sz w:val="24"/>
        </w:rPr>
        <w:t>图2  训练者与专家协作关系图</w:t>
      </w:r>
    </w:p>
    <w:p w14:paraId="4D2B84D9">
      <w:r>
        <w:rPr>
          <w:rFonts w:ascii="宋体" w:hAnsi="宋体" w:eastAsia="宋体"/>
          <w:sz w:val="22"/>
        </w:rPr>
        <w:t>本图展示了算法工程师（训练者）与音频专家（主观评审员）两类核心角色通过本发明平台实现协作的关系。训练者负责模型训练与分离执行，产生客观指标数据；专家负责主观听感评分与反馈。平台作为中枢，将客观指标与主观评分进行关联分析，并将分析结果反馈给训练者以指导模型优化方向。该图体现了本发明的核心设计理念——将模型优化从离线试错转变为反馈驱动迭代。</w:t>
      </w:r>
    </w:p>
    <w:p w14:paraId="78A0CA79">
      <w:pPr>
        <w:jc w:val="center"/>
      </w:pPr>
      <w:r>
        <w:drawing>
          <wp:inline distT="0" distB="0" distL="114300" distR="114300">
            <wp:extent cx="5303520" cy="2428240"/>
            <wp:effectExtent l="0" t="0" r="5080" b="1016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8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1B55"/>
    <w:p w14:paraId="18329A4F"/>
    <w:p w14:paraId="6DC0B550"/>
    <w:p w14:paraId="56423674"/>
    <w:p w14:paraId="4EE9924B"/>
    <w:p w14:paraId="3EDAB2BF"/>
    <w:p w14:paraId="0CE498FE"/>
    <w:p w14:paraId="4F220AA9"/>
    <w:p w14:paraId="084CAEBC"/>
    <w:p w14:paraId="4D6B502B"/>
    <w:p w14:paraId="22F8D71F"/>
    <w:p w14:paraId="2E7FFBB6"/>
    <w:p w14:paraId="1DD84D11">
      <w:r>
        <w:rPr>
          <w:rFonts w:ascii="宋体" w:hAnsi="宋体" w:eastAsia="宋体"/>
          <w:b/>
          <w:sz w:val="24"/>
        </w:rPr>
        <w:t>图3  系统总体架构图</w:t>
      </w:r>
    </w:p>
    <w:p w14:paraId="1354A24F">
      <w:r>
        <w:rPr>
          <w:rFonts w:ascii="宋体" w:hAnsi="宋体" w:eastAsia="宋体"/>
          <w:sz w:val="22"/>
        </w:rPr>
        <w:t>本图展示了本发明系统的四层解耦架构。自顶向下依次为：服务层（统一门户、任务交互、结果播放、评测分析、公共资源、消息通知、管理控制），业务层（认证授权、用户管理、任务调度、文件管理、评测处理、资源管理、配置管理、统计分析），技术层（React前端、FastAPI后端、异步任务队列、MSS分离引擎、音频分析组件、客观指标计算组件），数据层（MySQL数据库、文件系统存储）。该架构实现了前后端分离、任务异步化和模型引擎抽象，保证了系统的可扩展性与可维护性。</w:t>
      </w:r>
    </w:p>
    <w:p w14:paraId="514B28A4">
      <w:pPr>
        <w:jc w:val="center"/>
      </w:pPr>
      <w:r>
        <w:drawing>
          <wp:inline distT="0" distB="0" distL="114300" distR="114300">
            <wp:extent cx="5303520" cy="3128010"/>
            <wp:effectExtent l="0" t="0" r="5080" b="889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2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EFC87"/>
    <w:p w14:paraId="7B5104E2"/>
    <w:p w14:paraId="43DBFDCB"/>
    <w:p w14:paraId="1C1DB53A"/>
    <w:p w14:paraId="2E68BD1E"/>
    <w:p w14:paraId="1B0520AF"/>
    <w:p w14:paraId="233EA4AD"/>
    <w:p w14:paraId="021B0B84"/>
    <w:p w14:paraId="271B9640"/>
    <w:p w14:paraId="5078FF15">
      <w:r>
        <w:rPr>
          <w:rFonts w:ascii="宋体" w:hAnsi="宋体" w:eastAsia="宋体"/>
          <w:b/>
          <w:sz w:val="24"/>
        </w:rPr>
        <w:t>图4  业务流程图</w:t>
      </w:r>
    </w:p>
    <w:p w14:paraId="6CF9CCAE">
      <w:r>
        <w:rPr>
          <w:rFonts w:ascii="宋体" w:hAnsi="宋体" w:eastAsia="宋体"/>
          <w:sz w:val="22"/>
        </w:rPr>
        <w:t>本图展示了从模型训练到专家评估的完整业务闭环。流程始于训练者进行模型训练，经分离引擎对混合音频执行源分离，自动计算客观指标（SDR、SIR、SAR、SI-SDR、WOC/SOC），再由专家进行三维度主观评分（音质、干扰抑制、伪影控制），最终通过主客观关联分析（Spearman相关、Wilcoxon检验、排列检验）将结论反馈给训练者以指导下一轮优化。该图体现了评测—反馈—优化—再评测的闭环机制。</w:t>
      </w:r>
    </w:p>
    <w:p w14:paraId="72A118DE">
      <w:pPr>
        <w:jc w:val="center"/>
      </w:pPr>
      <w:r>
        <w:drawing>
          <wp:inline distT="0" distB="0" distL="114300" distR="114300">
            <wp:extent cx="5303520" cy="4269105"/>
            <wp:effectExtent l="0" t="0" r="508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695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5AC4"/>
    <w:p w14:paraId="035B5BEA"/>
    <w:p w14:paraId="4D8E5C93"/>
    <w:p w14:paraId="6E6BBD75"/>
    <w:p w14:paraId="3391345A"/>
    <w:p w14:paraId="0410247A"/>
    <w:p w14:paraId="3E2E7803">
      <w:r>
        <w:rPr>
          <w:rFonts w:ascii="宋体" w:hAnsi="宋体" w:eastAsia="宋体"/>
          <w:b/>
          <w:sz w:val="24"/>
        </w:rPr>
        <w:t>图5  用户故事地图</w:t>
      </w:r>
    </w:p>
    <w:p w14:paraId="05A9C75C">
      <w:r>
        <w:rPr>
          <w:rFonts w:ascii="宋体" w:hAnsi="宋体" w:eastAsia="宋体"/>
          <w:sz w:val="22"/>
        </w:rPr>
        <w:t>本图以用户故事地图的形式，按角色和时间维度展开平台的功能规划。横轴为业务流程阶段（注册与认证、资源准备、任务执行、结果分析、评价与反馈），纵轴为角色分层（访客、专家、管理员）。各单元格描述了对应用户在该阶段的具体操作需求。该图是平台功能开发优先级排序的依据，体现了以用户角色为中心的迭代式交付策略。</w:t>
      </w:r>
    </w:p>
    <w:p w14:paraId="57D7A4CE">
      <w:pPr>
        <w:jc w:val="center"/>
      </w:pPr>
      <w:r>
        <w:drawing>
          <wp:inline distT="0" distB="0" distL="114300" distR="114300">
            <wp:extent cx="5303520" cy="1574165"/>
            <wp:effectExtent l="0" t="0" r="508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574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5E86D"/>
    <w:p w14:paraId="63E70C83">
      <w:r>
        <w:rPr>
          <w:rFonts w:ascii="宋体" w:hAnsi="宋体" w:eastAsia="宋体"/>
          <w:b/>
          <w:sz w:val="24"/>
        </w:rPr>
        <w:t>图6  音乐源分离算法流程图</w:t>
      </w:r>
    </w:p>
    <w:p w14:paraId="02AB46DF">
      <w:r>
        <w:rPr>
          <w:rFonts w:ascii="宋体" w:hAnsi="宋体" w:eastAsia="宋体"/>
          <w:sz w:val="22"/>
        </w:rPr>
        <w:t>本图展示了平台中标准化的音乐源分离算法流水线。输入音频首先经过预处理（重采样至44.1kHz、声道规整为单声道、格式转换为PCM 16bit），随后进行STFT变换得到时频表示，送入模型进行推理（支持MDX23C、Demucs4HT、Band Split RoFormer、SCNet等多种算法），经逆STFT还原为时域波形，最后经后处理（归一化、限幅）输出四个分离声部（人声、鼓、贝斯、其他）。该流水线设计将模型差异收敛到推理模块内部，保持了前后处理规范的一致性，便于开展公平对比实验。</w:t>
      </w:r>
    </w:p>
    <w:p w14:paraId="09961A7E">
      <w:pPr>
        <w:jc w:val="center"/>
      </w:pPr>
      <w:r>
        <w:drawing>
          <wp:inline distT="0" distB="0" distL="114300" distR="114300">
            <wp:extent cx="5303520" cy="2216150"/>
            <wp:effectExtent l="0" t="0" r="508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16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89742"/>
    <w:p w14:paraId="25350AA7"/>
    <w:p w14:paraId="21EAA824">
      <w:r>
        <w:rPr>
          <w:rFonts w:ascii="宋体" w:hAnsi="宋体" w:eastAsia="宋体"/>
          <w:b/>
          <w:sz w:val="24"/>
        </w:rPr>
        <w:t>图7  登录界面</w:t>
      </w:r>
    </w:p>
    <w:p w14:paraId="1FC8B720">
      <w:r>
        <w:rPr>
          <w:rFonts w:ascii="宋体" w:hAnsi="宋体" w:eastAsia="宋体"/>
          <w:sz w:val="22"/>
        </w:rPr>
        <w:t>本图为本发明系统的主登录界面。页面中央提供用户名与密码输入框，下方设有记住我选项和登录按钮，底部提供注册链接供新用户跳转。左侧为系统导航栏，展示平台各功能模块入口。系统采用JWT令牌认证机制，登录成功后根据用户角色（访客/专家/管理员）展示对应的功能菜单。</w:t>
      </w:r>
    </w:p>
    <w:p w14:paraId="4DF144E7">
      <w:pPr>
        <w:jc w:val="center"/>
      </w:pPr>
      <w:r>
        <w:drawing>
          <wp:inline distT="0" distB="0" distL="114300" distR="114300">
            <wp:extent cx="5303520" cy="3063875"/>
            <wp:effectExtent l="0" t="0" r="508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5AAA1">
      <w:r>
        <w:rPr>
          <w:rFonts w:ascii="宋体" w:hAnsi="宋体" w:eastAsia="宋体"/>
          <w:b/>
          <w:sz w:val="24"/>
        </w:rPr>
        <w:t>图8  用户注册界面</w:t>
      </w:r>
    </w:p>
    <w:p w14:paraId="330A0D60">
      <w:r>
        <w:rPr>
          <w:rFonts w:ascii="宋体" w:hAnsi="宋体" w:eastAsia="宋体"/>
          <w:sz w:val="22"/>
        </w:rPr>
        <w:t>本图为本发明系统的用户注册界面。新用户需填写用户名、邮箱、密码等基本信息，并通过邮箱验证码完成身份验证。专家注册还需提交资质说明，申请提交后由管理员在后台审批。该界面实现了三种角色（访客、专家、管理员）的统一注册入口，其中专家角色需审批通过后方可参与主观评分。</w:t>
      </w:r>
    </w:p>
    <w:p w14:paraId="6866C918">
      <w:pPr>
        <w:jc w:val="center"/>
      </w:pPr>
      <w:r>
        <w:drawing>
          <wp:inline distT="0" distB="0" distL="114300" distR="114300">
            <wp:extent cx="4431030" cy="2560320"/>
            <wp:effectExtent l="0" t="0" r="127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3103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FB062">
      <w:r>
        <w:rPr>
          <w:rFonts w:ascii="宋体" w:hAnsi="宋体" w:eastAsia="宋体"/>
          <w:b/>
          <w:sz w:val="24"/>
        </w:rPr>
        <w:t>图9  选择混合音频界面</w:t>
      </w:r>
    </w:p>
    <w:p w14:paraId="777988DD">
      <w:r>
        <w:rPr>
          <w:rFonts w:ascii="宋体" w:hAnsi="宋体" w:eastAsia="宋体"/>
          <w:sz w:val="22"/>
        </w:rPr>
        <w:t>本图展示用户在创建分离任务时选择混合音频的操作界面。音频文件以列表形式展示，包含文件名、时长、采样率等信息，支持搜索和筛选。用户从公共资源库中选取待分离的混合音频（Mixture），该音频将作为分离引擎的输入。平台支持44.1kHz采样率、PCM 16bit格式的标准音频文件。</w:t>
      </w:r>
    </w:p>
    <w:p w14:paraId="4BFAE2D3">
      <w:pPr>
        <w:jc w:val="center"/>
      </w:pPr>
      <w:r>
        <w:drawing>
          <wp:inline distT="0" distB="0" distL="114300" distR="114300">
            <wp:extent cx="5113655" cy="2981960"/>
            <wp:effectExtent l="0" t="0" r="4445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13655" cy="298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2FB43">
      <w:r>
        <w:rPr>
          <w:rFonts w:ascii="宋体" w:hAnsi="宋体" w:eastAsia="宋体"/>
          <w:b/>
          <w:sz w:val="24"/>
        </w:rPr>
        <w:t>图10  选择金标准音频界面</w:t>
      </w:r>
    </w:p>
    <w:p w14:paraId="64E6244B">
      <w:r>
        <w:rPr>
          <w:rFonts w:ascii="宋体" w:hAnsi="宋体" w:eastAsia="宋体"/>
          <w:sz w:val="22"/>
        </w:rPr>
        <w:t>本图展示用户上传和选择参考标准音轨（Gold Stems）的界面。参考音轨包含人声、鼓、贝斯、其他四个独立声部，作为后续客观指标计算的基准信号。平台以标准化资源单元（Mixture + Gold Vocals/Drums/Bass/Other）组织数据，确保每组评测数据语境的完整性和一致性。</w:t>
      </w:r>
    </w:p>
    <w:p w14:paraId="6DBE829A">
      <w:pPr>
        <w:jc w:val="center"/>
      </w:pPr>
      <w:r>
        <w:drawing>
          <wp:inline distT="0" distB="0" distL="114300" distR="114300">
            <wp:extent cx="4472305" cy="2607310"/>
            <wp:effectExtent l="0" t="0" r="10795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72305" cy="260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6B0C5">
      <w:r>
        <w:rPr>
          <w:rFonts w:ascii="宋体" w:hAnsi="宋体" w:eastAsia="宋体"/>
          <w:b/>
          <w:sz w:val="24"/>
        </w:rPr>
        <w:t>图11  选择分离算法界面</w:t>
      </w:r>
    </w:p>
    <w:p w14:paraId="64465BCB">
      <w:r>
        <w:rPr>
          <w:rFonts w:ascii="宋体" w:hAnsi="宋体" w:eastAsia="宋体"/>
          <w:sz w:val="22"/>
        </w:rPr>
        <w:t>本图展示用户从已集成算法库中选择目标分离算法的界面。界面列出各算法的名称、简介及适用场景，当前集成算法包括MDX23C、Demucs4HT、Band Split RoFormer和SCNet。选择后分离引擎将通过统一的SeparationEngine接口调用对应模型的推理脚本，屏蔽底层实现差异。</w:t>
      </w:r>
    </w:p>
    <w:p w14:paraId="38459BC9">
      <w:pPr>
        <w:jc w:val="center"/>
      </w:pPr>
      <w:r>
        <w:drawing>
          <wp:inline distT="0" distB="0" distL="114300" distR="114300">
            <wp:extent cx="5303520" cy="3117850"/>
            <wp:effectExtent l="0" t="0" r="508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1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3DE1E">
      <w:r>
        <w:rPr>
          <w:rFonts w:ascii="宋体" w:hAnsi="宋体" w:eastAsia="宋体"/>
          <w:b/>
          <w:sz w:val="24"/>
        </w:rPr>
        <w:t>图12  选择指定音轨界面</w:t>
      </w:r>
    </w:p>
    <w:p w14:paraId="01064130">
      <w:r>
        <w:rPr>
          <w:rFonts w:ascii="宋体" w:hAnsi="宋体" w:eastAsia="宋体"/>
          <w:sz w:val="22"/>
        </w:rPr>
        <w:t>本图展示用户指定分离目标声部的界面。用户可勾选需要分离的声部类型——人声（Vocals）、鼓（Drums）、贝斯（Bass）、其他伴奏（Other），系统将仅对选中的目标声部执行分离推理。该设计允许用户按需分离，节省计算资源。</w:t>
      </w:r>
    </w:p>
    <w:p w14:paraId="7EE18C10">
      <w:pPr>
        <w:jc w:val="center"/>
      </w:pPr>
      <w:r>
        <w:drawing>
          <wp:inline distT="0" distB="0" distL="114300" distR="114300">
            <wp:extent cx="5303520" cy="2672080"/>
            <wp:effectExtent l="0" t="0" r="5080" b="762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2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D5FA">
      <w:r>
        <w:rPr>
          <w:rFonts w:ascii="宋体" w:hAnsi="宋体" w:eastAsia="宋体"/>
          <w:b/>
          <w:sz w:val="24"/>
        </w:rPr>
        <w:t>图13  可视化分析界面</w:t>
      </w:r>
    </w:p>
    <w:p w14:paraId="54B6A6BF">
      <w:r>
        <w:rPr>
          <w:rFonts w:ascii="宋体" w:hAnsi="宋体" w:eastAsia="宋体"/>
          <w:sz w:val="22"/>
        </w:rPr>
        <w:t>本图为本发明系统的可视化分析核心界面。上方以波形图对比展示参考信号（蓝色）与估计信号（橙色）的时域差异，下方以频谱图展示两者的时频分布。用户可通过拖拽、缩放等交互操作定位特定时间段进行分析。该界面同时提供残差试听功能（r = mixture − estimate），使评审员能够直接监听被算法滤除或残留的信号成分，辅助判断分离质量。</w:t>
      </w:r>
    </w:p>
    <w:p w14:paraId="336A3E04">
      <w:pPr>
        <w:jc w:val="center"/>
      </w:pPr>
      <w:r>
        <w:drawing>
          <wp:inline distT="0" distB="0" distL="114300" distR="114300">
            <wp:extent cx="5303520" cy="3107055"/>
            <wp:effectExtent l="0" t="0" r="5080" b="444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DFE32">
      <w:r>
        <w:rPr>
          <w:rFonts w:ascii="宋体" w:hAnsi="宋体" w:eastAsia="宋体"/>
          <w:b/>
          <w:sz w:val="24"/>
        </w:rPr>
        <w:t>图14  频率分析对比界面</w:t>
      </w:r>
    </w:p>
    <w:p w14:paraId="6191E194">
      <w:r>
        <w:rPr>
          <w:rFonts w:ascii="宋体" w:hAnsi="宋体" w:eastAsia="宋体"/>
          <w:sz w:val="22"/>
        </w:rPr>
        <w:t>本图展示不同算法在同一音频上的频谱对比。以并排或叠加方式呈现各算法分离结果的频谱图，直观对比不同算法在各频段的能量分布差异。该功能支撑了声部泄漏检测——当某算法在目标声部频段外出现异常能量时，可在频谱图中直接定位，为后续WOC/SOC重叠一致性指标的频带级分析提供可视化依据。</w:t>
      </w:r>
    </w:p>
    <w:p w14:paraId="523D3F57">
      <w:pPr>
        <w:jc w:val="center"/>
      </w:pPr>
      <w:r>
        <w:drawing>
          <wp:inline distT="0" distB="0" distL="114300" distR="114300">
            <wp:extent cx="5303520" cy="2237105"/>
            <wp:effectExtent l="0" t="0" r="5080" b="1079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237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54A53"/>
    <w:p w14:paraId="529CC170">
      <w:r>
        <w:rPr>
          <w:rFonts w:ascii="宋体" w:hAnsi="宋体" w:eastAsia="宋体"/>
          <w:b/>
          <w:sz w:val="24"/>
        </w:rPr>
        <w:t>图15  专家评分与实时评分统计界面</w:t>
      </w:r>
    </w:p>
    <w:p w14:paraId="21718186">
      <w:r>
        <w:rPr>
          <w:rFonts w:ascii="宋体" w:hAnsi="宋体" w:eastAsia="宋体"/>
          <w:sz w:val="22"/>
        </w:rPr>
        <w:t>本图为本发明系统的主观评价核心界面。左侧为评分面板，专家在双盲条件下（不知晓所听音频对应的算法）对每个声部进行三维度评分：音质（1-5分，衡量清晰度与自然度）、干扰抑制（1-5分，衡量非目标声部残留程度）、伪影控制（1-5分，衡量算法引入的金属音、断续等非自然成分）。所有四个声部的评分一次性批量提交。右侧为实时评分统计图表，展示各算法的得分分布与均值。评分流程参照ITU-R BS.1534-1 MUSHRA规范设计。</w:t>
      </w:r>
    </w:p>
    <w:p w14:paraId="38F92D74">
      <w:pPr>
        <w:jc w:val="center"/>
      </w:pPr>
      <w:r>
        <w:drawing>
          <wp:inline distT="0" distB="0" distL="114300" distR="114300">
            <wp:extent cx="5303520" cy="3752215"/>
            <wp:effectExtent l="0" t="0" r="5080" b="698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2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5F87C"/>
    <w:p w14:paraId="4B1F2AD4"/>
    <w:p w14:paraId="412BF52B"/>
    <w:p w14:paraId="697CCDFF"/>
    <w:p w14:paraId="3CAD502D"/>
    <w:p w14:paraId="0622E8A8"/>
    <w:p w14:paraId="7CB81056"/>
    <w:p w14:paraId="314F2CCF">
      <w:r>
        <w:rPr>
          <w:rFonts w:ascii="宋体" w:hAnsi="宋体" w:eastAsia="宋体"/>
          <w:b/>
          <w:sz w:val="24"/>
        </w:rPr>
        <w:t>图16  分离历史记录界面</w:t>
      </w:r>
    </w:p>
    <w:p w14:paraId="54AD572B">
      <w:r>
        <w:rPr>
          <w:rFonts w:ascii="宋体" w:hAnsi="宋体" w:eastAsia="宋体"/>
          <w:sz w:val="22"/>
        </w:rPr>
        <w:t>本图展示用户的分离任务历史列表。每条记录包含任务ID、音频名称、使用算法、执行时间、任务状态（排队中/处理中/已完成/已取消/失败）等信息。用户可在此查看历史任务的客观指标结果、下载分离音频文件或跳转至可视化分析页面。任务取消功能支持用户随时终止排队或执行中的任务。</w:t>
      </w:r>
    </w:p>
    <w:p w14:paraId="3B436D93">
      <w:pPr>
        <w:jc w:val="center"/>
      </w:pPr>
      <w:r>
        <w:drawing>
          <wp:inline distT="0" distB="0" distL="114300" distR="114300">
            <wp:extent cx="5303520" cy="3064510"/>
            <wp:effectExtent l="0" t="0" r="5080" b="889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EEA54"/>
    <w:p w14:paraId="62CEA80E"/>
    <w:p w14:paraId="2BAAEB24"/>
    <w:p w14:paraId="237C209E"/>
    <w:p w14:paraId="52E44E44"/>
    <w:p w14:paraId="45C97239"/>
    <w:p w14:paraId="5795D603"/>
    <w:p w14:paraId="32FCC022"/>
    <w:p w14:paraId="1359D626"/>
    <w:p w14:paraId="7FA8DD3E"/>
    <w:p w14:paraId="5367F4B7">
      <w:r>
        <w:rPr>
          <w:rFonts w:ascii="宋体" w:hAnsi="宋体" w:eastAsia="宋体"/>
          <w:b/>
          <w:sz w:val="24"/>
        </w:rPr>
        <w:t>图17  社区评估数据界面</w:t>
      </w:r>
    </w:p>
    <w:p w14:paraId="5A0B0A26">
      <w:r>
        <w:rPr>
          <w:rFonts w:ascii="宋体" w:hAnsi="宋体" w:eastAsia="宋体"/>
          <w:sz w:val="22"/>
        </w:rPr>
        <w:t>本图展示所有用户公开的评估数据汇总页面。该页面集中呈现各项评测的客观指标均值与标准差、主观评分分布、算法排名等汇总信息，支持按算法、声部、评分维度进行筛选和排序，为研究者提供多维度对比视角。</w:t>
      </w:r>
    </w:p>
    <w:p w14:paraId="2986CAFB">
      <w:pPr>
        <w:jc w:val="center"/>
      </w:pPr>
      <w:r>
        <w:drawing>
          <wp:inline distT="0" distB="0" distL="114300" distR="114300">
            <wp:extent cx="5303520" cy="3063875"/>
            <wp:effectExtent l="0" t="0" r="5080" b="952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16143">
      <w:bookmarkStart w:id="0" w:name="_GoBack"/>
      <w:bookmarkEnd w:id="0"/>
    </w:p>
    <w:p w14:paraId="2674FE5D">
      <w:r>
        <w:rPr>
          <w:rFonts w:ascii="宋体" w:hAnsi="宋体" w:eastAsia="宋体"/>
          <w:b/>
          <w:sz w:val="24"/>
        </w:rPr>
        <w:t>图18  音频资源管理界面</w:t>
      </w:r>
    </w:p>
    <w:p w14:paraId="4E36A12E">
      <w:r>
        <w:rPr>
          <w:rFonts w:ascii="宋体" w:hAnsi="宋体" w:eastAsia="宋体"/>
          <w:sz w:val="22"/>
        </w:rPr>
        <w:t>本图展示公共音频资源的管理界面。支持音频文件的上传、浏览、分类筛选和下载。上传时支持捆绑模式——将Mixture与四个Gold Stems打包上传，系统自动解析文件结构并建立关联。资源列表展示文件名、类型、时长、上传者、上传时间等元数据。</w:t>
      </w:r>
    </w:p>
    <w:p w14:paraId="276FED42">
      <w:pPr>
        <w:jc w:val="center"/>
      </w:pPr>
      <w:r>
        <w:drawing>
          <wp:inline distT="0" distB="0" distL="114300" distR="114300">
            <wp:extent cx="5303520" cy="3063875"/>
            <wp:effectExtent l="0" t="0" r="5080" b="952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4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8CFD7A"/>
    <w:p w14:paraId="59AE30C4">
      <w:r>
        <w:rPr>
          <w:rFonts w:ascii="宋体" w:hAnsi="宋体" w:eastAsia="宋体"/>
          <w:b/>
          <w:sz w:val="24"/>
        </w:rPr>
        <w:t>图19  后台管理系统界面</w:t>
      </w:r>
    </w:p>
    <w:p w14:paraId="4CC72DC6">
      <w:r>
        <w:rPr>
          <w:rFonts w:ascii="宋体" w:hAnsi="宋体" w:eastAsia="宋体"/>
          <w:sz w:val="22"/>
        </w:rPr>
        <w:t>本图为本发明系统的管理员后台面板。包含用户审批（专家资质审核与角色分配）、系统配置管理（键值对配置项，支持separation_compute_mode等运行时参数动态调整）、系统日志审计（记录关键操作的时间、用户、IP、操作描述）以及数据统计仪表盘（用户增长、任务统计、资源统计等可视化图表）。</w:t>
      </w:r>
    </w:p>
    <w:p w14:paraId="6D140A6B">
      <w:pPr>
        <w:jc w:val="center"/>
      </w:pPr>
      <w:r>
        <w:drawing>
          <wp:inline distT="0" distB="0" distL="114300" distR="114300">
            <wp:extent cx="5303520" cy="3069590"/>
            <wp:effectExtent l="0" t="0" r="5080" b="381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9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4B108"/>
    <w:p w14:paraId="5DAFBB4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9C500AE"/>
    <w:rsid w:val="347C2FCC"/>
    <w:rsid w:val="48FF2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5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36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6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37">
    <w:name w:val="Header Char"/>
    <w:basedOn w:val="132"/>
    <w:link w:val="25"/>
    <w:uiPriority w:val="99"/>
  </w:style>
  <w:style w:type="character" w:customStyle="1" w:styleId="138">
    <w:name w:val="Footer Char"/>
    <w:basedOn w:val="132"/>
    <w:link w:val="24"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customXml" Target="../customXml/item1.xml"/><Relationship Id="rId25" Type="http://schemas.openxmlformats.org/officeDocument/2006/relationships/numbering" Target="numbering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2845</Words>
  <Characters>3150</Characters>
  <Lines>0</Lines>
  <Paragraphs>0</Paragraphs>
  <TotalTime>5</TotalTime>
  <ScaleCrop>false</ScaleCrop>
  <LinksUpToDate>false</LinksUpToDate>
  <CharactersWithSpaces>3205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WPS_1627136482</cp:lastModifiedBy>
  <dcterms:modified xsi:type="dcterms:W3CDTF">2026-07-16T06:01:15Z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eyJoZGlkIjoiMGQ4MjIyZmY4N2ZhNTZkZWRkNzAyZTQ0ZTY0ZWU0NTQiLCJ1c2VySWQiOiIxMjM3NDY0NjYzIn0=</vt:lpwstr>
  </property>
  <property fmtid="{D5CDD505-2E9C-101B-9397-08002B2CF9AE}" pid="3" name="KSOProductBuildVer">
    <vt:lpwstr>2052-12.1.0.26375</vt:lpwstr>
  </property>
  <property fmtid="{D5CDD505-2E9C-101B-9397-08002B2CF9AE}" pid="4" name="ICV">
    <vt:lpwstr>52F90086F41140FB8A54311EC7EB97D0_12</vt:lpwstr>
  </property>
</Properties>
</file>