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1C4B4" w14:textId="77777777" w:rsidR="005F6A05" w:rsidRDefault="00000000">
      <w:pPr>
        <w:spacing w:before="60" w:after="60" w:line="360" w:lineRule="auto"/>
        <w:ind w:firstLine="480"/>
        <w:rPr>
          <w:rFonts w:hint="eastAsia"/>
        </w:rPr>
      </w:pPr>
      <w:r>
        <w:rPr>
          <w:b/>
          <w:bCs/>
        </w:rPr>
        <w:t>1. 一种面向音乐源分离的主客观协同评估方法，其特征在于，包括以下步骤：</w:t>
      </w:r>
    </w:p>
    <w:p w14:paraId="75FFD291" w14:textId="77777777" w:rsidR="005F6A05" w:rsidRDefault="00000000">
      <w:pPr>
        <w:spacing w:before="60" w:after="60" w:line="360" w:lineRule="auto"/>
        <w:ind w:firstLine="480"/>
        <w:rPr>
          <w:rFonts w:hint="eastAsia"/>
        </w:rPr>
      </w:pPr>
      <w:r>
        <w:t>步骤S1，音频数据管理步骤：以标准化资源单元为基础，将混合音频与对应的多</w:t>
      </w:r>
      <w:proofErr w:type="gramStart"/>
      <w:r>
        <w:t>轨独立</w:t>
      </w:r>
      <w:proofErr w:type="gramEnd"/>
      <w:r>
        <w:t>声源参考音轨进行结构化存储，并对音频进行统一预处理，包括重采样、声道规整和格式转换；</w:t>
      </w:r>
    </w:p>
    <w:p w14:paraId="585D2EC5" w14:textId="77777777" w:rsidR="005F6A05" w:rsidRDefault="00000000">
      <w:pPr>
        <w:spacing w:before="60" w:after="60" w:line="360" w:lineRule="auto"/>
        <w:ind w:firstLine="480"/>
        <w:rPr>
          <w:rFonts w:hint="eastAsia"/>
        </w:rPr>
      </w:pPr>
      <w:r>
        <w:t>步骤S2，多引擎分离调度步骤：通过策略模式构建统一的分离引擎抽象接口，支持多种分离引擎的灵活切换，所述多种分离引擎包括基于本地推理仓库的子进程调用引擎、基于</w:t>
      </w:r>
      <w:proofErr w:type="spellStart"/>
      <w:r>
        <w:t>ffmpeg</w:t>
      </w:r>
      <w:proofErr w:type="spellEnd"/>
      <w:r>
        <w:t>滤波器的模拟演示引擎、基于HTTP协议的远程模型服务引擎以及自定义本地脚本引擎，引擎选择通过环境变量控制；</w:t>
      </w:r>
    </w:p>
    <w:p w14:paraId="1784FE29" w14:textId="77777777" w:rsidR="005F6A05" w:rsidRDefault="00000000">
      <w:pPr>
        <w:spacing w:before="60" w:after="60" w:line="360" w:lineRule="auto"/>
        <w:ind w:firstLine="480"/>
        <w:rPr>
          <w:rFonts w:hint="eastAsia"/>
        </w:rPr>
      </w:pPr>
      <w:r>
        <w:t>步骤S3，分离任务异步执行步骤：通过</w:t>
      </w:r>
      <w:proofErr w:type="gramStart"/>
      <w:r>
        <w:t>单例模式</w:t>
      </w:r>
      <w:proofErr w:type="gramEnd"/>
      <w:r>
        <w:t>的异步任务队列管理器对分离任务进行FIFO队列调度，支持单任务串行处理，提供队列位置查询、任务取消以及CPU/GPU计算模式动态切换功能，其中任务取消通过全局取消标记集合实现软中断到硬中断的桥接；</w:t>
      </w:r>
    </w:p>
    <w:p w14:paraId="0E67B600" w14:textId="77777777" w:rsidR="005F6A05" w:rsidRDefault="00000000">
      <w:pPr>
        <w:spacing w:before="60" w:after="60" w:line="360" w:lineRule="auto"/>
        <w:ind w:firstLine="480"/>
        <w:rPr>
          <w:rFonts w:hint="eastAsia"/>
        </w:rPr>
      </w:pPr>
      <w:r>
        <w:t>步骤S4，客观指标自动计算步骤：对每个分离任务的估计信号，自动计算客观评价指标，所述客观评价指标包括基于BSS Eval多源评估框架的SDR/SIR/SAR/ISR指标、尺度不变源失真比SI-SDR指标、以及基于L1归一化幅度表示和交集/并集计算方式的重叠一致性指标WOC/SOC；</w:t>
      </w:r>
    </w:p>
    <w:p w14:paraId="2611DF31" w14:textId="77777777" w:rsidR="005F6A05" w:rsidRDefault="00000000">
      <w:pPr>
        <w:spacing w:before="60" w:after="60" w:line="360" w:lineRule="auto"/>
        <w:ind w:firstLine="480"/>
        <w:rPr>
          <w:rFonts w:hint="eastAsia"/>
        </w:rPr>
      </w:pPr>
      <w:r>
        <w:t>步骤S5，主观评价管理步骤：基于MUSHRA规范设计主观评价流程，提供包括音质、干扰抑制、伪影控制三个维度的结构化评分界面，采用双盲多激励听音测试方法，支持所有声部的批量评分提交；</w:t>
      </w:r>
    </w:p>
    <w:p w14:paraId="0F361BEF" w14:textId="77777777" w:rsidR="005F6A05" w:rsidRDefault="00000000">
      <w:pPr>
        <w:spacing w:before="60" w:after="60" w:line="360" w:lineRule="auto"/>
        <w:ind w:firstLine="480"/>
        <w:rPr>
          <w:rFonts w:hint="eastAsia"/>
        </w:rPr>
      </w:pPr>
      <w:r>
        <w:t>步骤S6，主客观关联分析步骤：将同一分离任务的客观指标与主观评分进行关联，提供Spearman等级相关系数计算、排列检验以及Wilcoxon符号秩检验，实现客观指标与主观感知质量之间关系的定量分析。</w:t>
      </w:r>
    </w:p>
    <w:p w14:paraId="619E2E49" w14:textId="6F5A1818" w:rsidR="005F6A05" w:rsidRDefault="00000000">
      <w:pPr>
        <w:spacing w:before="60" w:after="60" w:line="360" w:lineRule="auto"/>
        <w:ind w:firstLine="480"/>
        <w:rPr>
          <w:rFonts w:hint="eastAsia"/>
        </w:rPr>
      </w:pPr>
      <w:r>
        <w:rPr>
          <w:b/>
          <w:bCs/>
        </w:rPr>
        <w:t>2. 根据权利要求1所述的方法，其特征在于，步骤S4中所述重叠一致性指标WOC/SOC的具体计算方式为：对参考信号和估计信号的非负幅度进行L1归一化后，按以下公式计算重叠一致性得分：</w:t>
      </w:r>
      <m:oMath>
        <m:r>
          <w:rPr>
            <w:rFonts w:ascii="Cambria Math" w:hAnsi="Cambria Math"/>
          </w:rPr>
          <m:t>OC=∑min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Ã,Â̂</m:t>
            </m:r>
          </m:e>
        </m:d>
        <m:r>
          <w:rPr>
            <w:rFonts w:ascii="Cambria Math" w:hAnsi="Cambria Math"/>
          </w:rPr>
          <m:t>/∑max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Ã,Â̂</m:t>
            </m:r>
          </m:e>
        </m:d>
      </m:oMath>
      <w:r>
        <w:rPr>
          <w:b/>
          <w:bCs/>
        </w:rPr>
        <w:t>；其中，所述非负幅度为时域波形绝对值时得到的指标为WOC，所述非负幅度为时频域STFT</w:t>
      </w:r>
      <w:proofErr w:type="gramStart"/>
      <w:r>
        <w:rPr>
          <w:b/>
          <w:bCs/>
        </w:rPr>
        <w:t>幅度谱时得到</w:t>
      </w:r>
      <w:proofErr w:type="gramEnd"/>
      <w:r>
        <w:rPr>
          <w:b/>
          <w:bCs/>
        </w:rPr>
        <w:t>的指标为SOC。</w:t>
      </w:r>
    </w:p>
    <w:p w14:paraId="6A8AEC10" w14:textId="77777777" w:rsidR="005F6A05" w:rsidRDefault="00000000">
      <w:pPr>
        <w:spacing w:before="60" w:after="60" w:line="360" w:lineRule="auto"/>
        <w:ind w:firstLine="480"/>
        <w:rPr>
          <w:rFonts w:hint="eastAsia"/>
        </w:rPr>
      </w:pPr>
      <w:r>
        <w:rPr>
          <w:b/>
          <w:bCs/>
        </w:rPr>
        <w:t>3. 根据权利要求2所述的方法，其特征在于，所述重叠一致性指标进一步包括以下扩展模块中的至少一种：（a）相位一致性PC，基于复数STFT的</w:t>
      </w:r>
      <w:proofErr w:type="gramStart"/>
      <w:r>
        <w:rPr>
          <w:b/>
          <w:bCs/>
        </w:rPr>
        <w:t>互相关度刻画</w:t>
      </w:r>
      <w:proofErr w:type="gramEnd"/>
      <w:r>
        <w:rPr>
          <w:b/>
          <w:bCs/>
        </w:rPr>
        <w:t>相位结构匹配；（b）时间对齐机制，通过互相</w:t>
      </w:r>
      <w:proofErr w:type="gramStart"/>
      <w:r>
        <w:rPr>
          <w:b/>
          <w:bCs/>
        </w:rPr>
        <w:t>关估计</w:t>
      </w:r>
      <w:proofErr w:type="gramEnd"/>
      <w:r>
        <w:rPr>
          <w:b/>
          <w:bCs/>
        </w:rPr>
        <w:t>最优延迟τ*后对齐再计算重叠一致性；（c）感知加权PSOC，基于Mel或A-weighting频率权重在频谱一致性中引入人耳敏感度差异。</w:t>
      </w:r>
    </w:p>
    <w:p w14:paraId="10162683" w14:textId="77777777" w:rsidR="005F6A05" w:rsidRDefault="00000000">
      <w:pPr>
        <w:spacing w:before="60" w:after="60" w:line="360" w:lineRule="auto"/>
        <w:ind w:firstLine="480"/>
        <w:rPr>
          <w:rFonts w:hint="eastAsia"/>
        </w:rPr>
      </w:pPr>
      <w:r>
        <w:rPr>
          <w:b/>
          <w:bCs/>
        </w:rPr>
        <w:lastRenderedPageBreak/>
        <w:t>4. 根据权利要求1所述的方法，其特征在于，步骤S4中所述BSS Eval多源评估框架的实现方式为：通过</w:t>
      </w:r>
      <w:proofErr w:type="gramStart"/>
      <w:r>
        <w:rPr>
          <w:b/>
          <w:bCs/>
        </w:rPr>
        <w:t>将估计</w:t>
      </w:r>
      <w:proofErr w:type="gramEnd"/>
      <w:r>
        <w:rPr>
          <w:b/>
          <w:bCs/>
        </w:rPr>
        <w:t>信号向各参考源子空间投影，</w:t>
      </w:r>
      <w:proofErr w:type="gramStart"/>
      <w:r>
        <w:rPr>
          <w:b/>
          <w:bCs/>
        </w:rPr>
        <w:t>将估计</w:t>
      </w:r>
      <w:proofErr w:type="gramEnd"/>
      <w:r>
        <w:rPr>
          <w:b/>
          <w:bCs/>
        </w:rPr>
        <w:t>信号分解为目标分量s、空间失真误差</w:t>
      </w:r>
      <w:proofErr w:type="spellStart"/>
      <w:r>
        <w:rPr>
          <w:b/>
          <w:bCs/>
        </w:rPr>
        <w:t>e_spat</w:t>
      </w:r>
      <w:proofErr w:type="spellEnd"/>
      <w:r>
        <w:rPr>
          <w:b/>
          <w:bCs/>
        </w:rPr>
        <w:t>、干扰误差</w:t>
      </w:r>
      <w:proofErr w:type="spellStart"/>
      <w:r>
        <w:rPr>
          <w:b/>
          <w:bCs/>
        </w:rPr>
        <w:t>e_interf</w:t>
      </w:r>
      <w:proofErr w:type="spellEnd"/>
      <w:r>
        <w:rPr>
          <w:b/>
          <w:bCs/>
        </w:rPr>
        <w:t>和伪影误差</w:t>
      </w:r>
      <w:proofErr w:type="spellStart"/>
      <w:r>
        <w:rPr>
          <w:b/>
          <w:bCs/>
        </w:rPr>
        <w:t>e_artif</w:t>
      </w:r>
      <w:proofErr w:type="spellEnd"/>
      <w:r>
        <w:rPr>
          <w:b/>
          <w:bCs/>
        </w:rPr>
        <w:t>四个分量，再基于各分量的能量比计算SDR、SIR、SAR和ISR。</w:t>
      </w:r>
    </w:p>
    <w:p w14:paraId="7988427F" w14:textId="77777777" w:rsidR="005F6A05" w:rsidRDefault="00000000">
      <w:pPr>
        <w:spacing w:before="60" w:after="60" w:line="360" w:lineRule="auto"/>
        <w:ind w:firstLine="480"/>
        <w:rPr>
          <w:rFonts w:hint="eastAsia"/>
        </w:rPr>
      </w:pPr>
      <w:r>
        <w:rPr>
          <w:b/>
          <w:bCs/>
        </w:rPr>
        <w:t>5. 根据权利要求1所述的方法，其特征在于，步骤S3中所述任务取消的软中断到硬中断桥接机制为：后端API接收取消请求后将任务ID加入全局取消标记集合，分离引擎在子进程输出读取循环中轮询检查该集合，检测到取消标记后先尝试terminate()优雅终止子进程，若失败则调用kill()强制终止，最后抛出取消异常通知上层服务。</w:t>
      </w:r>
    </w:p>
    <w:p w14:paraId="2C7B0B95" w14:textId="77777777" w:rsidR="005F6A05" w:rsidRDefault="00000000">
      <w:pPr>
        <w:spacing w:before="60" w:after="60" w:line="360" w:lineRule="auto"/>
        <w:ind w:firstLine="480"/>
        <w:rPr>
          <w:rFonts w:hint="eastAsia"/>
        </w:rPr>
      </w:pPr>
      <w:r>
        <w:rPr>
          <w:b/>
          <w:bCs/>
        </w:rPr>
        <w:t>6. 根据权利要求1所述的方法，其特征在于，步骤S6中所述Spearman等级相关系数的计算采用从</w:t>
      </w:r>
      <w:proofErr w:type="gramStart"/>
      <w:r>
        <w:rPr>
          <w:b/>
          <w:bCs/>
        </w:rPr>
        <w:t>零实现</w:t>
      </w:r>
      <w:proofErr w:type="gramEnd"/>
      <w:r>
        <w:rPr>
          <w:b/>
          <w:bCs/>
        </w:rPr>
        <w:t>的算法，包括对打结数据采用平均</w:t>
      </w:r>
      <w:proofErr w:type="gramStart"/>
      <w:r>
        <w:rPr>
          <w:b/>
          <w:bCs/>
        </w:rPr>
        <w:t>秩</w:t>
      </w:r>
      <w:proofErr w:type="gramEnd"/>
      <w:r>
        <w:rPr>
          <w:b/>
          <w:bCs/>
        </w:rPr>
        <w:t>处理；所述排列检验通过多次随机打乱数据标签构造零分布以计算单侧p值；所述Wilcoxon符号秩检验包含正态近似、打结方差修正和</w:t>
      </w:r>
      <w:proofErr w:type="gramStart"/>
      <w:r>
        <w:rPr>
          <w:b/>
          <w:bCs/>
        </w:rPr>
        <w:t>秩</w:t>
      </w:r>
      <w:proofErr w:type="gramEnd"/>
      <w:r>
        <w:rPr>
          <w:b/>
          <w:bCs/>
        </w:rPr>
        <w:t>双列效应量计算。</w:t>
      </w:r>
    </w:p>
    <w:p w14:paraId="1B079E26" w14:textId="77777777" w:rsidR="005F6A05" w:rsidRDefault="00000000">
      <w:pPr>
        <w:spacing w:before="60" w:after="60" w:line="360" w:lineRule="auto"/>
        <w:ind w:firstLine="480"/>
        <w:rPr>
          <w:rFonts w:hint="eastAsia"/>
        </w:rPr>
      </w:pPr>
      <w:r>
        <w:rPr>
          <w:b/>
          <w:bCs/>
        </w:rPr>
        <w:t>7. 一种实现权利要求1-6任一项所述方法的面向音乐源分离的主客观协同评估系统，其特征在于，采用分层解耦架构，包括：服务层，提供统一门户、任务交互、结果播放、评测分析、公共资源、消息通知与管理控制功能；业务层，实现认证授权、用户审批管理、任务与队列调度、Stem文件管理、主客观评测处理、资源库管理、系统配置管理与统计分析功能；技术层，基于React前端框架和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>后端框架构建，配套异步任务队列管理器、MSS分离引擎组件、音频分析组件和客观指标计算组件；以及数据层，采用MySQL关系型数据库进行数据持久化，同时使用文件系统存储音频文件。</w:t>
      </w:r>
    </w:p>
    <w:p w14:paraId="068BB019" w14:textId="77777777" w:rsidR="005F6A05" w:rsidRDefault="00000000">
      <w:pPr>
        <w:spacing w:before="60" w:after="60" w:line="360" w:lineRule="auto"/>
        <w:ind w:firstLine="480"/>
        <w:rPr>
          <w:rFonts w:hint="eastAsia"/>
        </w:rPr>
      </w:pPr>
      <w:r>
        <w:rPr>
          <w:b/>
          <w:bCs/>
        </w:rPr>
        <w:t>8. 根据权利要求7所述的系统，其特征在于，所述多引擎分离调度采用策略模式实现，定义</w:t>
      </w:r>
      <w:proofErr w:type="gramStart"/>
      <w:r>
        <w:rPr>
          <w:b/>
          <w:bCs/>
        </w:rPr>
        <w:t>抽象基类</w:t>
      </w:r>
      <w:proofErr w:type="spellStart"/>
      <w:proofErr w:type="gramEnd"/>
      <w:r>
        <w:rPr>
          <w:b/>
          <w:bCs/>
        </w:rPr>
        <w:t>SeparationEngine</w:t>
      </w:r>
      <w:proofErr w:type="spellEnd"/>
      <w:r>
        <w:rPr>
          <w:b/>
          <w:bCs/>
        </w:rPr>
        <w:t>包含统一的separate()接口方法，返回包括stems路径映射和可选客观指标的</w:t>
      </w:r>
      <w:proofErr w:type="spellStart"/>
      <w:r>
        <w:rPr>
          <w:b/>
          <w:bCs/>
        </w:rPr>
        <w:t>SeparationResult</w:t>
      </w:r>
      <w:proofErr w:type="spellEnd"/>
      <w:r>
        <w:rPr>
          <w:b/>
          <w:bCs/>
        </w:rPr>
        <w:t>数据结构；通过工厂函数</w:t>
      </w:r>
      <w:proofErr w:type="spellStart"/>
      <w:r>
        <w:rPr>
          <w:b/>
          <w:bCs/>
        </w:rPr>
        <w:t>build_separation_engine_from_env</w:t>
      </w:r>
      <w:proofErr w:type="spellEnd"/>
      <w:r>
        <w:rPr>
          <w:b/>
          <w:bCs/>
        </w:rPr>
        <w:t>()读取环境变量SEPARATION_ENGINE的值返回对应引擎实例，支持</w:t>
      </w:r>
      <w:proofErr w:type="spellStart"/>
      <w:r>
        <w:rPr>
          <w:b/>
          <w:bCs/>
        </w:rPr>
        <w:t>mss</w:t>
      </w:r>
      <w:proofErr w:type="spellEnd"/>
      <w:r>
        <w:rPr>
          <w:b/>
          <w:bCs/>
        </w:rPr>
        <w:t>、mock、http、local四种模式。</w:t>
      </w:r>
    </w:p>
    <w:p w14:paraId="4BCBFD65" w14:textId="77777777" w:rsidR="005F6A05" w:rsidRDefault="00000000">
      <w:pPr>
        <w:spacing w:before="60" w:after="60" w:line="360" w:lineRule="auto"/>
        <w:ind w:firstLine="480"/>
        <w:rPr>
          <w:rFonts w:hint="eastAsia"/>
        </w:rPr>
      </w:pPr>
      <w:r>
        <w:rPr>
          <w:b/>
          <w:bCs/>
        </w:rPr>
        <w:t>9. 根据权利要求7所述的系统，其特征在于，所述系统的数据库表结构包括：users用户表、</w:t>
      </w:r>
      <w:proofErr w:type="spellStart"/>
      <w:r>
        <w:rPr>
          <w:b/>
          <w:bCs/>
        </w:rPr>
        <w:t>separation_tasks</w:t>
      </w:r>
      <w:proofErr w:type="spellEnd"/>
      <w:r>
        <w:rPr>
          <w:b/>
          <w:bCs/>
        </w:rPr>
        <w:t>分离任务表、</w:t>
      </w:r>
      <w:proofErr w:type="spellStart"/>
      <w:r>
        <w:rPr>
          <w:b/>
          <w:bCs/>
        </w:rPr>
        <w:t>stem_files</w:t>
      </w:r>
      <w:proofErr w:type="spellEnd"/>
      <w:r>
        <w:rPr>
          <w:b/>
          <w:bCs/>
        </w:rPr>
        <w:t>分离音频文件表、scores主观评分表、</w:t>
      </w:r>
      <w:proofErr w:type="spellStart"/>
      <w:r>
        <w:rPr>
          <w:b/>
          <w:bCs/>
        </w:rPr>
        <w:t>audio_resources</w:t>
      </w:r>
      <w:proofErr w:type="spellEnd"/>
      <w:r>
        <w:rPr>
          <w:b/>
          <w:bCs/>
        </w:rPr>
        <w:t>音频资源表、</w:t>
      </w:r>
      <w:proofErr w:type="spellStart"/>
      <w:r>
        <w:rPr>
          <w:b/>
          <w:bCs/>
        </w:rPr>
        <w:t>system_logs</w:t>
      </w:r>
      <w:proofErr w:type="spellEnd"/>
      <w:r>
        <w:rPr>
          <w:b/>
          <w:bCs/>
        </w:rPr>
        <w:t>系统日志表、</w:t>
      </w:r>
      <w:proofErr w:type="spellStart"/>
      <w:r>
        <w:rPr>
          <w:b/>
          <w:bCs/>
        </w:rPr>
        <w:t>system_configs</w:t>
      </w:r>
      <w:proofErr w:type="spellEnd"/>
      <w:r>
        <w:rPr>
          <w:b/>
          <w:bCs/>
        </w:rPr>
        <w:t>系统配置表、notifications通知表；所有表的主</w:t>
      </w:r>
      <w:proofErr w:type="gramStart"/>
      <w:r>
        <w:rPr>
          <w:b/>
          <w:bCs/>
        </w:rPr>
        <w:t>键采用</w:t>
      </w:r>
      <w:proofErr w:type="gramEnd"/>
      <w:r>
        <w:rPr>
          <w:b/>
          <w:bCs/>
        </w:rPr>
        <w:t>64位雪花ID生成器生成，由41位时间戳、10位数据中心/机器ID和12位序列号组成，API响应中ID统一序列化为字符串。</w:t>
      </w:r>
    </w:p>
    <w:sectPr w:rsidR="005F6A05">
      <w:headerReference w:type="default" r:id="rId6"/>
      <w:footerReference w:type="default" r:id="rId7"/>
      <w:pgSz w:w="11906" w:h="16838"/>
      <w:pgMar w:top="1440" w:right="850" w:bottom="85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AA562" w14:textId="77777777" w:rsidR="00D7022F" w:rsidRDefault="00D7022F">
      <w:pPr>
        <w:rPr>
          <w:rFonts w:hint="eastAsia"/>
        </w:rPr>
      </w:pPr>
      <w:r>
        <w:separator/>
      </w:r>
    </w:p>
  </w:endnote>
  <w:endnote w:type="continuationSeparator" w:id="0">
    <w:p w14:paraId="286468D3" w14:textId="77777777" w:rsidR="00D7022F" w:rsidRDefault="00D7022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47419" w14:textId="369BA737" w:rsidR="005F6A05" w:rsidRDefault="00000000">
    <w:pPr>
      <w:jc w:val="center"/>
      <w:rPr>
        <w:rFonts w:hint="eastAsia"/>
      </w:rPr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rFonts w:hint="eastAsia"/>
        <w:sz w:val="18"/>
        <w:szCs w:val="18"/>
      </w:rPr>
      <w:fldChar w:fldCharType="separate"/>
    </w:r>
    <w:r w:rsidR="00007C95">
      <w:rPr>
        <w:rFonts w:hint="eastAsia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DD9D5" w14:textId="77777777" w:rsidR="00D7022F" w:rsidRDefault="00D7022F">
      <w:pPr>
        <w:rPr>
          <w:rFonts w:hint="eastAsia"/>
        </w:rPr>
      </w:pPr>
      <w:r>
        <w:separator/>
      </w:r>
    </w:p>
  </w:footnote>
  <w:footnote w:type="continuationSeparator" w:id="0">
    <w:p w14:paraId="50C31DAD" w14:textId="77777777" w:rsidR="00D7022F" w:rsidRDefault="00D7022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D8543" w14:textId="77777777" w:rsidR="005F6A05" w:rsidRDefault="00000000">
    <w:pPr>
      <w:jc w:val="center"/>
      <w:rPr>
        <w:rFonts w:hint="eastAsia"/>
      </w:rPr>
    </w:pPr>
    <w:r>
      <w:rPr>
        <w:color w:val="888888"/>
        <w:sz w:val="18"/>
        <w:szCs w:val="18"/>
      </w:rPr>
      <w:t>权利要求书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A05"/>
    <w:rsid w:val="00007C95"/>
    <w:rsid w:val="00597B82"/>
    <w:rsid w:val="005F6A05"/>
    <w:rsid w:val="00D7022F"/>
    <w:rsid w:val="1C536B8E"/>
    <w:rsid w:val="341744ED"/>
    <w:rsid w:val="3B3B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A8EADCD-1504-4F5D-87C5-878A22067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/>
    <w:lsdException w:name="Title" w:qFormat="1"/>
    <w:lsdException w:name="Default Paragraph Font" w:semiHidden="1" w:unhideWhenUsed="1" w:qFormat="1"/>
    <w:lsdException w:name="Body Text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4"/>
      <w:szCs w:val="24"/>
    </w:rPr>
  </w:style>
  <w:style w:type="paragraph" w:styleId="1">
    <w:name w:val="heading 1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next w:val="a0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next w:val="a0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4"/>
      <w:szCs w:val="24"/>
    </w:rPr>
  </w:style>
  <w:style w:type="paragraph" w:styleId="5">
    <w:name w:val="heading 5"/>
    <w:next w:val="a"/>
    <w:qFormat/>
    <w:pPr>
      <w:outlineLvl w:val="4"/>
    </w:pPr>
    <w:rPr>
      <w:color w:val="2E74B5"/>
      <w:sz w:val="24"/>
      <w:szCs w:val="24"/>
    </w:rPr>
  </w:style>
  <w:style w:type="paragraph" w:styleId="6">
    <w:name w:val="heading 6"/>
    <w:next w:val="a"/>
    <w:qFormat/>
    <w:pPr>
      <w:outlineLvl w:val="5"/>
    </w:pPr>
    <w:rPr>
      <w:color w:val="1F4D78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endnote text"/>
    <w:link w:val="a5"/>
    <w:uiPriority w:val="99"/>
    <w:semiHidden/>
    <w:unhideWhenUsed/>
  </w:style>
  <w:style w:type="paragraph" w:styleId="a6">
    <w:name w:val="footnote text"/>
    <w:link w:val="a7"/>
    <w:uiPriority w:val="99"/>
    <w:semiHidden/>
    <w:unhideWhenUsed/>
    <w:qFormat/>
  </w:style>
  <w:style w:type="paragraph" w:styleId="a8">
    <w:name w:val="Title"/>
    <w:qFormat/>
    <w:rPr>
      <w:sz w:val="56"/>
      <w:szCs w:val="56"/>
    </w:rPr>
  </w:style>
  <w:style w:type="character" w:styleId="a9">
    <w:name w:val="endnote reference"/>
    <w:uiPriority w:val="99"/>
    <w:semiHidden/>
    <w:unhideWhenUsed/>
    <w:qFormat/>
    <w:rPr>
      <w:vertAlign w:val="superscript"/>
    </w:rPr>
  </w:style>
  <w:style w:type="character" w:styleId="aa">
    <w:name w:val="Hyperlink"/>
    <w:uiPriority w:val="99"/>
    <w:unhideWhenUsed/>
    <w:rPr>
      <w:color w:val="0563C1"/>
      <w:u w:val="single"/>
    </w:rPr>
  </w:style>
  <w:style w:type="character" w:styleId="ab">
    <w:name w:val="footnote reference"/>
    <w:uiPriority w:val="99"/>
    <w:semiHidden/>
    <w:unhideWhenUsed/>
    <w:qFormat/>
    <w:rPr>
      <w:vertAlign w:val="superscript"/>
    </w:rPr>
  </w:style>
  <w:style w:type="paragraph" w:styleId="ac">
    <w:name w:val="List Paragraph"/>
    <w:qFormat/>
    <w:rPr>
      <w:sz w:val="24"/>
      <w:szCs w:val="24"/>
    </w:rPr>
  </w:style>
  <w:style w:type="character" w:customStyle="1" w:styleId="a7">
    <w:name w:val="脚注文本 字符"/>
    <w:link w:val="a6"/>
    <w:uiPriority w:val="99"/>
    <w:semiHidden/>
    <w:unhideWhenUsed/>
    <w:qFormat/>
    <w:rPr>
      <w:sz w:val="20"/>
      <w:szCs w:val="20"/>
    </w:rPr>
  </w:style>
  <w:style w:type="character" w:customStyle="1" w:styleId="a5">
    <w:name w:val="尾注文本 字符"/>
    <w:link w:val="a4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1012</Words>
  <Characters>1245</Characters>
  <Application>Microsoft Office Word</Application>
  <DocSecurity>0</DocSecurity>
  <Lines>32</Lines>
  <Paragraphs>15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子平 吴</cp:lastModifiedBy>
  <cp:revision>2</cp:revision>
  <dcterms:created xsi:type="dcterms:W3CDTF">2026-07-15T07:35:00Z</dcterms:created>
  <dcterms:modified xsi:type="dcterms:W3CDTF">2026-07-15T08:35:00Z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eyJoZGlkIjoiMGQ4MjIyZmY4N2ZhNTZkZWRkNzAyZTQ0ZTY0ZWU0NTQiLCJ1c2VySWQiOiIxMjM3NDY0NjYzIn0=</vt:lpwstr>
  </property>
  <property fmtid="{D5CDD505-2E9C-101B-9397-08002B2CF9AE}" pid="3" name="KSOProductBuildVer">
    <vt:lpwstr>2052-12.1.0.26375</vt:lpwstr>
  </property>
  <property fmtid="{D5CDD505-2E9C-101B-9397-08002B2CF9AE}" pid="4" name="ICV">
    <vt:lpwstr>99BBFA1656F74CC08FF9C27B70375DA1_12</vt:lpwstr>
  </property>
</Properties>
</file>