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59BA7">
      <w:pPr>
        <w:spacing w:before="600" w:after="120"/>
        <w:rPr>
          <w:rFonts w:hint="eastAsia"/>
        </w:rPr>
      </w:pPr>
    </w:p>
    <w:p w14:paraId="7F8B6EE6">
      <w:pPr>
        <w:spacing w:before="120" w:after="360"/>
        <w:jc w:val="center"/>
        <w:rPr>
          <w:rFonts w:hint="eastAsia"/>
        </w:rPr>
      </w:pPr>
      <w:r>
        <w:rPr>
          <w:rFonts w:ascii="黑体" w:hAnsi="黑体" w:eastAsia="黑体" w:cs="黑体"/>
          <w:b/>
          <w:bCs/>
          <w:sz w:val="32"/>
          <w:szCs w:val="32"/>
        </w:rPr>
        <w:t>一种面向音乐源分离的主客观协同评估方法及系统</w:t>
      </w:r>
    </w:p>
    <w:p w14:paraId="084FD0C8">
      <w:pPr>
        <w:pStyle w:val="2"/>
        <w:spacing w:before="120" w:line="360" w:lineRule="auto"/>
        <w:rPr>
          <w:rFonts w:hint="eastAsia"/>
        </w:rPr>
      </w:pPr>
      <w:r>
        <w:t>技术领域</w:t>
      </w:r>
    </w:p>
    <w:p w14:paraId="0C72F4ED">
      <w:pPr>
        <w:spacing w:before="60" w:after="60" w:line="360" w:lineRule="auto"/>
        <w:ind w:firstLine="480"/>
        <w:rPr>
          <w:rFonts w:hint="eastAsia"/>
        </w:rPr>
      </w:pPr>
      <w:r>
        <w:t>本发明涉及音频信号处理与深度学习技术领域，具体涉及一种面向音乐源分离（Music Source Separation, MSS）任务的主客观协同评估方法及系统，用于对多种音乐源分离算法进行统一的客观指标计算、主观评价管理以及主客观关联分析。</w:t>
      </w:r>
    </w:p>
    <w:p w14:paraId="5CA60768">
      <w:pPr>
        <w:pStyle w:val="2"/>
        <w:spacing w:before="120" w:line="360" w:lineRule="auto"/>
        <w:rPr>
          <w:rFonts w:hint="eastAsia"/>
        </w:rPr>
      </w:pPr>
      <w:r>
        <w:t>背景技术</w:t>
      </w:r>
    </w:p>
    <w:p w14:paraId="42084335">
      <w:pPr>
        <w:spacing w:before="60" w:after="60" w:line="360" w:lineRule="auto"/>
        <w:ind w:firstLine="480"/>
        <w:rPr>
          <w:rFonts w:hint="eastAsia"/>
        </w:rPr>
      </w:pPr>
      <w:r>
        <w:t>音乐源分离旨在将混合音频分解为若干独立的语义声部（如人声Vocals、鼓Drums、贝斯Bass、其他伴奏Other），广泛应用于智能编曲、音频编辑、音乐信息检索和音乐教育等领域。近年来，基于深度学习的音乐源分离方法在公开数据集上的客观指标（如SDR、SI-SDR等）持续提升，但在实际应用中仍存在"指标数值高但听感不佳"的问题：同一模型在不同曲风、不同编配密度下常出现声部泄漏（source leakage）、瞬态响应模糊（transient smearing）或高频伪影（high-frequency artifacts）等感知质量问题。由此可见，单一依赖客观指标难以全面评估算法模型的实际性能。</w:t>
      </w:r>
    </w:p>
    <w:p w14:paraId="459A145D">
      <w:pPr>
        <w:spacing w:before="60" w:after="60" w:line="360" w:lineRule="auto"/>
        <w:ind w:firstLine="480"/>
        <w:rPr>
          <w:rFonts w:hint="eastAsia"/>
        </w:rPr>
      </w:pPr>
      <w:r>
        <w:t>目前，围绕音乐源分离的评测，国内外存在多类系统与工具，但均存在不同程度的不足：</w:t>
      </w:r>
    </w:p>
    <w:p w14:paraId="0A7E1A90">
      <w:pPr>
        <w:spacing w:before="60" w:after="60" w:line="360" w:lineRule="auto"/>
        <w:ind w:firstLine="480"/>
        <w:rPr>
          <w:rFonts w:hint="eastAsia"/>
        </w:rPr>
      </w:pPr>
      <w:r>
        <w:t>（1）面向终端用户的在线分离平台（如LALAL.AI、Moises、MVSEP等）主要面向消费级应用场景，提供一键式分离服务，但缺乏统一的评测标准与实验可复现机制，不支持多算法的系统化对比分析及主观评价研究。</w:t>
      </w:r>
    </w:p>
    <w:p w14:paraId="4C4F948B">
      <w:pPr>
        <w:spacing w:before="60" w:after="60" w:line="360" w:lineRule="auto"/>
        <w:ind w:firstLine="480"/>
        <w:rPr>
          <w:rFonts w:hint="eastAsia"/>
        </w:rPr>
      </w:pPr>
      <w:r>
        <w:t>（2）开源分离工具与模型库（如Spleeter、Demucs、Open-Unmix等）主要为研究者提供模型实现和推理接口，具备较强的灵活性和可扩展性，但其主要聚焦算法层面，缺乏统一的任务管理与实验组织能力，难以将主观听感评价纳入标准化评测流程。</w:t>
      </w:r>
    </w:p>
    <w:p w14:paraId="0545086A">
      <w:pPr>
        <w:spacing w:before="60" w:after="60" w:line="360" w:lineRule="auto"/>
        <w:ind w:firstLine="480"/>
        <w:rPr>
          <w:rFonts w:hint="eastAsia"/>
        </w:rPr>
      </w:pPr>
      <w:r>
        <w:t>（3）学术评测工具包（如museval、mir_eval等）虽然实现规范、结果可复现，但通常缺乏可视化界面及多用户协作机制，尤其不支持主观评价数据的结构化采集与分析。</w:t>
      </w:r>
    </w:p>
    <w:p w14:paraId="0A2DF650">
      <w:pPr>
        <w:spacing w:before="60" w:after="60" w:line="360" w:lineRule="auto"/>
        <w:ind w:firstLine="480"/>
        <w:rPr>
          <w:rFonts w:hint="eastAsia"/>
        </w:rPr>
      </w:pPr>
      <w:r>
        <w:t>综上所述，现有系统在多模型统一管理、主客观评估融合以及评测流程可复现性等方面仍存在不足，难以支撑对"模型性能—感知质量"关系的系统性分析。因此，有必要构建一个集成多模型对比、客观指标自动计算与主观评价协同分析的统一评测平台。</w:t>
      </w:r>
    </w:p>
    <w:p w14:paraId="6642D3AF">
      <w:pPr>
        <w:pStyle w:val="2"/>
        <w:spacing w:before="120" w:line="360" w:lineRule="auto"/>
        <w:rPr>
          <w:rFonts w:hint="eastAsia"/>
        </w:rPr>
      </w:pPr>
      <w:r>
        <w:t>发明内容</w:t>
      </w:r>
    </w:p>
    <w:p w14:paraId="27D53C07">
      <w:pPr>
        <w:pStyle w:val="3"/>
        <w:spacing w:before="120" w:line="360" w:lineRule="auto"/>
        <w:rPr>
          <w:rFonts w:hint="eastAsia"/>
        </w:rPr>
      </w:pPr>
      <w:r>
        <w:t>发明目的</w:t>
      </w:r>
    </w:p>
    <w:p w14:paraId="0C7C960B">
      <w:pPr>
        <w:spacing w:before="60" w:after="60" w:line="360" w:lineRule="auto"/>
        <w:ind w:firstLine="480"/>
        <w:rPr>
          <w:rFonts w:hint="eastAsia"/>
        </w:rPr>
      </w:pPr>
      <w:r>
        <w:t>本发明旨在解决现有技术中音乐源分离评估存在的以下三个问题：（1）实验数据分散存储、缺乏统一管理；（2）客观指标计算与主观听感评价相互割裂，难以全面衡量算法性能；（3）评估结果缺乏有效的可视化分析和主客观关联解释手段。本发明提供一种面向音乐源分离的主客观协同评估方法及系统，通过构建统一评测平台，将"数据准备—分离执行—客观指标计算—主观专家评分—主客观关联分析—统计反馈"整合为闭环工作流。</w:t>
      </w:r>
    </w:p>
    <w:p w14:paraId="6E00E74A">
      <w:pPr>
        <w:pStyle w:val="3"/>
        <w:spacing w:before="120" w:line="360" w:lineRule="auto"/>
        <w:rPr>
          <w:rFonts w:hint="eastAsia"/>
        </w:rPr>
      </w:pPr>
      <w:r>
        <w:t>技术方案</w:t>
      </w:r>
    </w:p>
    <w:p w14:paraId="41A9C47B">
      <w:pPr>
        <w:spacing w:before="60" w:after="60" w:line="360" w:lineRule="auto"/>
        <w:ind w:firstLine="480"/>
        <w:rPr>
          <w:rFonts w:hint="eastAsia"/>
        </w:rPr>
      </w:pPr>
      <w:r>
        <w:t>本发明提供一种面向音乐源分离的主客观协同评估方法，包括以下步骤：</w:t>
      </w:r>
    </w:p>
    <w:p w14:paraId="33C1CB78">
      <w:pPr>
        <w:spacing w:before="60" w:after="60" w:line="360" w:lineRule="auto"/>
        <w:ind w:firstLine="480"/>
        <w:rPr>
          <w:rFonts w:hint="eastAsia"/>
        </w:rPr>
      </w:pPr>
      <w:r>
        <w:t>步骤S1，音频数据管理步骤：以标准化资源单元（Mixture + Gold Vocals/Drums/Bass/Other）为基础，将混合音频与对应的多轨独立声源参考音轨进行结构化存储，并对音频进行统一预处理，包括重采样至44.1kHz、声道规整为单声道、格式转换为PCM 16bit。</w:t>
      </w:r>
    </w:p>
    <w:p w14:paraId="3DB1C443">
      <w:pPr>
        <w:spacing w:before="60" w:after="60" w:line="360" w:lineRule="auto"/>
        <w:ind w:firstLine="480"/>
        <w:rPr>
          <w:rFonts w:hint="eastAsia"/>
        </w:rPr>
      </w:pPr>
      <w:r>
        <w:t>步骤S2，多引擎分离调度步骤：通过策略模式构建统一的分离引擎抽象接口，支持多种分离引擎的灵活切换，所述多种分离引擎包括：基于ZFTurbo Music-Source-Separation-Training仓库的本地推理引擎（MSSLocalEngine）、基于ffmpeg滤波器的模拟演示引擎（MockSeparationEngine）、基于HTTP协议的远程模型服务引擎（HttpSeparationEngine）、以及自定义本地脚本引擎（LocalSeparationEngine）。引擎选择通过环境变量SEPARATION_ENGINE控制，支持mss/mock/http/local四种模式。</w:t>
      </w:r>
    </w:p>
    <w:p w14:paraId="0C6D1881">
      <w:pPr>
        <w:spacing w:before="60" w:after="60" w:line="360" w:lineRule="auto"/>
        <w:ind w:firstLine="480"/>
        <w:rPr>
          <w:rFonts w:hint="eastAsia"/>
        </w:rPr>
      </w:pPr>
      <w:r>
        <w:t>步骤S3，分离任务异步执行步骤：通过单例模式的异步任务队列管理器（TaskQueueManager）对分离任务进行FIFO队列调度，支持单任务串行处理以避免GPU显存溢出，提供队列位置查询、任务取消（包括队列移除与进程终止的双重取消机制）、以及CPU/GPU计算模式动态切换。任务取消通过全局取消标记集合（_CANCELLED_TASK_IDS）实现软中断到硬中断的桥接。</w:t>
      </w:r>
    </w:p>
    <w:p w14:paraId="0428E402">
      <w:pPr>
        <w:spacing w:before="60" w:after="60" w:line="360" w:lineRule="auto"/>
        <w:ind w:firstLine="480"/>
        <w:rPr>
          <w:rFonts w:hint="eastAsia"/>
        </w:rPr>
      </w:pPr>
      <w:r>
        <w:t>步骤S4，客观指标自动计算步骤：对每个分离任务的估计信号，系统自动计算客观评价指标。所述客观评价指标包括：</w:t>
      </w:r>
    </w:p>
    <w:p w14:paraId="60910A37">
      <w:pPr>
        <w:spacing w:before="60" w:after="60" w:line="360" w:lineRule="auto"/>
        <w:ind w:firstLine="480"/>
        <w:rPr>
          <w:rFonts w:hint="eastAsia"/>
        </w:rPr>
      </w:pPr>
      <w:r>
        <w:t>（a）基于BSS Eval v3多源评估框架的指标：通过将估计信号向各参考源子空间投影，将估计信号分解为目标分量、空间失真误差、干扰误差和伪影误差，进而计算源失真比SDR（Signal-to-Distortion Ratio）、源干扰比SIR（Signal-to-Interference Ratio）、源伪影比SAR（Signal-to-Artifacts Ratio）和图像空间比ISR（Image-to-Spatial Ratio）。</w:t>
      </w:r>
    </w:p>
    <w:p w14:paraId="3AD67875">
      <w:pPr>
        <w:spacing w:before="60" w:after="60" w:line="360" w:lineRule="auto"/>
        <w:ind w:firstLine="480"/>
        <w:rPr>
          <w:rFonts w:hint="eastAsia"/>
        </w:rPr>
      </w:pPr>
      <w:r>
        <w:t>（b）尺度不变源失真比SI-SDR：通过计算最优缩放因子α = &lt;</w:t>
      </w:r>
      <w:r>
        <w:rPr>
          <w:rFonts w:ascii="Cambria" w:hAnsi="Cambria" w:cs="Cambria"/>
        </w:rPr>
        <w:t>ŝ</w:t>
      </w:r>
      <w:r>
        <w:t>, s&gt; / ||s||</w:t>
      </w:r>
      <w:r>
        <w:rPr>
          <w:rFonts w:hint="eastAsia"/>
        </w:rPr>
        <w:t>²</w:t>
      </w:r>
      <w:r>
        <w:t>，消除整体增益缩放对评估结果的影响。</w:t>
      </w:r>
    </w:p>
    <w:p w14:paraId="5DB53399">
      <w:pPr>
        <w:spacing w:before="60" w:after="60" w:line="360" w:lineRule="auto"/>
        <w:ind w:firstLine="480"/>
        <w:rPr>
          <w:rFonts w:hint="eastAsia"/>
        </w:rPr>
      </w:pPr>
      <w:r>
        <w:t>（c）重叠一致性辅助指标：包括波形重叠一致性WOC（Waveform Overlap Consistency）和频谱重叠一致性SOC（Spectrogram Overlap Consistency），基于L1归一化幅度表示和"交集/并集"（IoU-like）计算方式，将可视化分析中的"重叠程度"量化为[0,1]区间标量。具体定义为：对参考信号和估计信号的非负幅度（时域波形绝对值或时频域STFT幅度谱）进行L1归一化后，计算</w:t>
      </w:r>
      <m:oMath>
        <m:r>
          <m:rPr/>
          <w:rPr>
            <w:rFonts w:ascii="Cambria Math" w:hAnsi="Cambria Math"/>
          </w:rPr>
          <m:t>∑min</m:t>
        </m:r>
        <m:d>
          <m:dPr>
            <m:ctrlPr>
              <w:rPr>
                <w:rFonts w:ascii="Cambria Math" w:hAnsi="Cambria Math"/>
              </w:rPr>
            </m:ctrlPr>
          </m:dPr>
          <m:e>
            <m:r>
              <m:rPr/>
              <w:rPr>
                <w:rFonts w:ascii="Cambria Math" w:hAnsi="Cambria Math"/>
              </w:rPr>
              <m:t>Ã,Â̂</m:t>
            </m:r>
            <m:ctrlPr>
              <w:rPr>
                <w:rFonts w:ascii="Cambria Math" w:hAnsi="Cambria Math"/>
              </w:rPr>
            </m:ctrlPr>
          </m:e>
        </m:d>
        <m:r>
          <m:rPr/>
          <w:rPr>
            <w:rFonts w:ascii="Cambria Math" w:hAnsi="Cambria Math"/>
          </w:rPr>
          <m:t>/∑max</m:t>
        </m:r>
        <m:d>
          <m:dPr>
            <m:ctrlPr>
              <w:rPr>
                <w:rFonts w:ascii="Cambria Math" w:hAnsi="Cambria Math"/>
              </w:rPr>
            </m:ctrlPr>
          </m:dPr>
          <m:e>
            <m:r>
              <m:rPr/>
              <w:rPr>
                <w:rFonts w:ascii="Cambria Math" w:hAnsi="Cambria Math"/>
              </w:rPr>
              <m:t>Ã,Â̂</m:t>
            </m:r>
            <m:ctrlPr>
              <w:rPr>
                <w:rFonts w:ascii="Cambria Math" w:hAnsi="Cambria Math"/>
              </w:rPr>
            </m:ctrlPr>
          </m:e>
        </m:d>
      </m:oMath>
      <w:r>
        <w:t>。该指标与SDR/SI-SDR等全局失真指标形成互补，用于解释主客观差异。可选地，进一步包括相位一致性PC（基于复数STFT的相位匹配度）、感知加权PSOC（基于Mel或A-weighting的频域加权）以及互相关时间对齐等扩展模块。</w:t>
      </w:r>
    </w:p>
    <w:p w14:paraId="19CA47C4">
      <w:pPr>
        <w:spacing w:before="60" w:after="60" w:line="360" w:lineRule="auto"/>
        <w:ind w:firstLine="480"/>
        <w:rPr>
          <w:rFonts w:hint="eastAsia"/>
        </w:rPr>
      </w:pPr>
      <w:r>
        <w:t>步骤S5，主观评价管理步骤：基于ITU-R BS.1534-1 MUSHRA规范设计主观评价流程，提供包括音质Quality、干扰抑制Interference、伪影控制Artifacts三个维度的结构化评分界面，采用双盲多激励听音测试方法，支持所有声部（Vocals/Drums/Bass/Other）的批量评分提交以确保数据完整性。</w:t>
      </w:r>
    </w:p>
    <w:p w14:paraId="4AFE386A">
      <w:pPr>
        <w:spacing w:before="60" w:after="60" w:line="360" w:lineRule="auto"/>
        <w:ind w:firstLine="480"/>
        <w:rPr>
          <w:rFonts w:hint="eastAsia"/>
        </w:rPr>
      </w:pPr>
      <w:r>
        <w:t>步骤S6，主客观关联分析步骤：将同一分离任务的客观指标与主观评分进行关联，提供Spearman等级相关系数计算、排列检验（Permutation Test）以及Wilcoxon符号秩检验等统计分析方法，实现客观指标与主观感知质量之间关系的定量分析。特别是提供SOC与主观音质评分之间的Spearman等级相关分析和排列检验，以验证重叠一致性指标对主观听感的解释能力。</w:t>
      </w:r>
    </w:p>
    <w:p w14:paraId="687DB389">
      <w:pPr>
        <w:pStyle w:val="3"/>
        <w:spacing w:before="120" w:line="360" w:lineRule="auto"/>
        <w:rPr>
          <w:rFonts w:hint="eastAsia"/>
        </w:rPr>
      </w:pPr>
      <w:r>
        <w:t>系统架构</w:t>
      </w:r>
    </w:p>
    <w:p w14:paraId="02D941CB">
      <w:pPr>
        <w:spacing w:before="60" w:after="60" w:line="360" w:lineRule="auto"/>
        <w:ind w:firstLine="480"/>
        <w:rPr>
          <w:rFonts w:hint="eastAsia"/>
        </w:rPr>
      </w:pPr>
      <w:r>
        <w:t>本发明还提供一种实现上述方法的面向音乐源分离的主客观协同评估系统，采用分层解耦架构，包括：</w:t>
      </w:r>
    </w:p>
    <w:p w14:paraId="6EA621A5">
      <w:pPr>
        <w:spacing w:before="60" w:after="60" w:line="360" w:lineRule="auto"/>
        <w:ind w:firstLine="480"/>
        <w:rPr>
          <w:rFonts w:hint="eastAsia"/>
        </w:rPr>
      </w:pPr>
      <w:r>
        <w:t>（1）服务层：提供统一门户、任务交互、结果播放、评测分析、公共资源、消息通知与管理控制等用户可见能力。</w:t>
      </w:r>
    </w:p>
    <w:p w14:paraId="17A3E8E1">
      <w:pPr>
        <w:spacing w:before="60" w:after="60" w:line="360" w:lineRule="auto"/>
        <w:ind w:firstLine="480"/>
        <w:rPr>
          <w:rFonts w:hint="eastAsia"/>
        </w:rPr>
      </w:pPr>
      <w:r>
        <w:t>（2）业务层：实现JWT+RBAC认证授权、用户审批管理、任务与队列调度、Stem文件管理、主客观评测处理、资源库管理、系统配置管理与统计分析等核心业务逻辑。</w:t>
      </w:r>
    </w:p>
    <w:p w14:paraId="023D57FC">
      <w:pPr>
        <w:spacing w:before="60" w:after="60" w:line="360" w:lineRule="auto"/>
        <w:ind w:firstLine="480"/>
        <w:rPr>
          <w:rFonts w:hint="eastAsia"/>
        </w:rPr>
      </w:pPr>
      <w:r>
        <w:t>（3）技术层：基于React前端框架和FastAPI后端框架构建，配套异步任务队列管理器、MSS分离引擎组件、音频分析组件和客观指标计算组件。</w:t>
      </w:r>
    </w:p>
    <w:p w14:paraId="24352AEA">
      <w:pPr>
        <w:spacing w:before="60" w:after="60" w:line="360" w:lineRule="auto"/>
        <w:ind w:firstLine="480"/>
        <w:rPr>
          <w:rFonts w:hint="eastAsia"/>
        </w:rPr>
      </w:pPr>
      <w:r>
        <w:t>（4）数据层：采用MySQL关系型数据库持久化存储用户、任务、评分、资源、通知、配置、日志等数据，同时使用文件系统存储上传音频与分离结果文件。</w:t>
      </w:r>
    </w:p>
    <w:p w14:paraId="4BFE3B11">
      <w:pPr>
        <w:pStyle w:val="3"/>
        <w:spacing w:before="120" w:line="360" w:lineRule="auto"/>
        <w:rPr>
          <w:rFonts w:hint="eastAsia"/>
        </w:rPr>
      </w:pPr>
      <w:r>
        <w:t>有益效果</w:t>
      </w:r>
    </w:p>
    <w:p w14:paraId="116F1EFF">
      <w:pPr>
        <w:spacing w:before="60" w:after="60" w:line="360" w:lineRule="auto"/>
        <w:ind w:firstLine="480"/>
        <w:rPr>
          <w:rFonts w:hint="eastAsia"/>
        </w:rPr>
      </w:pPr>
      <w:r>
        <w:t>与现有技术相比，本发明具有以下有益效果：</w:t>
      </w:r>
    </w:p>
    <w:p w14:paraId="7FB032B7">
      <w:pPr>
        <w:spacing w:before="60" w:after="60" w:line="360" w:lineRule="auto"/>
        <w:ind w:firstLine="480"/>
        <w:rPr>
          <w:rFonts w:hint="eastAsia"/>
        </w:rPr>
      </w:pPr>
      <w:r>
        <w:t>（1）通过构建主客观协同评估闭环，首次将客观指标计算、主观专家评分和主客观关联分析整合为统一的评测工作流，打通了从"算法输出"到"感知质量"的完整链路，使模型优化从"离线试错"转变为"反馈驱动迭代"。</w:t>
      </w:r>
    </w:p>
    <w:p w14:paraId="1EAB467A">
      <w:pPr>
        <w:spacing w:before="60" w:after="60" w:line="360" w:lineRule="auto"/>
        <w:ind w:firstLine="480"/>
        <w:rPr>
          <w:rFonts w:hint="eastAsia"/>
        </w:rPr>
      </w:pPr>
      <w:r>
        <w:t>（2）提出了重叠一致性辅助度量指标WOC/SOC，基于L1归一化幅度表示和交集/并集计算方式，将可视化分析中"波形/频谱重叠"的定性观察量化为可统计分析的定量指标，用于解释客观指标与主观听感之间的差异，并提供了频带级分析、相位一致性和感知加权等扩展能力。</w:t>
      </w:r>
    </w:p>
    <w:p w14:paraId="3AEC2A0A">
      <w:pPr>
        <w:spacing w:before="60" w:after="60" w:line="360" w:lineRule="auto"/>
        <w:ind w:firstLine="480"/>
        <w:rPr>
          <w:rFonts w:hint="eastAsia"/>
        </w:rPr>
      </w:pPr>
      <w:r>
        <w:t>（3）采用策略模式设计多引擎分离架构，通过统一的SeparationEngine抽象接口和工厂方法build_separation_engine_from_env()，支持四种分离引擎的灵活切换，将"模型差异"收敛到推理模块内部，同时保持前后处理与输入输出规范的一致性，便于开展公平对比实验。</w:t>
      </w:r>
    </w:p>
    <w:p w14:paraId="7EEAF068">
      <w:pPr>
        <w:spacing w:before="60" w:after="60" w:line="360" w:lineRule="auto"/>
        <w:ind w:firstLine="480"/>
        <w:rPr>
          <w:rFonts w:hint="eastAsia"/>
        </w:rPr>
      </w:pPr>
      <w:r>
        <w:t>（4）通过异步任务队列管理器和全局取消标记机制，实现了任务取消的软中断到硬中断桥接，能够在GPU推理过程中及时终止子进程以释放计算资源。</w:t>
      </w:r>
    </w:p>
    <w:p w14:paraId="23E16BAF">
      <w:pPr>
        <w:spacing w:before="60" w:after="60" w:line="360" w:lineRule="auto"/>
        <w:ind w:firstLine="480"/>
        <w:rPr>
          <w:rFonts w:hint="eastAsia"/>
        </w:rPr>
      </w:pPr>
      <w:r>
        <w:t>（5）通过内置的Spearman等级相关、Wilcoxon符号秩检验和排列检验等统计方法，无需依赖外部统计软件即可完成主客观关联分析和算法间显著性检验，降低了评测工作流的技术门槛。</w:t>
      </w:r>
    </w:p>
    <w:p w14:paraId="6658094C">
      <w:pPr>
        <w:pStyle w:val="2"/>
        <w:spacing w:before="120" w:line="360" w:lineRule="auto"/>
        <w:rPr>
          <w:rFonts w:hint="eastAsia"/>
        </w:rPr>
      </w:pPr>
      <w:r>
        <w:t>附图说明</w:t>
      </w:r>
    </w:p>
    <w:p>
      <w:pPr>
        <w:jc w:val="center"/>
      </w:pPr>
      <w:r>
        <w:drawing>
          <wp:inline xmlns:a="http://schemas.openxmlformats.org/drawingml/2006/main" xmlns:pic="http://schemas.openxmlformats.org/drawingml/2006/picture">
            <wp:extent cx="5303520" cy="3359143"/>
            <wp:docPr id="1" name="Picture 1"/>
            <wp:cNvGraphicFramePr>
              <a:graphicFrameLocks noChangeAspect="1"/>
            </wp:cNvGraphicFramePr>
            <a:graphic>
              <a:graphicData uri="http://schemas.openxmlformats.org/drawingml/2006/picture">
                <pic:pic>
                  <pic:nvPicPr>
                    <pic:cNvPr id="0" name="问题解决逻辑图.png"/>
                    <pic:cNvPicPr/>
                  </pic:nvPicPr>
                  <pic:blipFill>
                    <a:blip r:embed="rId7"/>
                    <a:stretch>
                      <a:fillRect/>
                    </a:stretch>
                  </pic:blipFill>
                  <pic:spPr>
                    <a:xfrm>
                      <a:off x="0" y="0"/>
                      <a:ext cx="5303520" cy="3359143"/>
                    </a:xfrm>
                    <a:prstGeom prst="rect"/>
                  </pic:spPr>
                </pic:pic>
              </a:graphicData>
            </a:graphic>
          </wp:inline>
        </w:drawing>
      </w:r>
    </w:p>
    <w:p>
      <w:pPr/>
      <w:r>
        <w:t>图1为本发明的问题解决逻辑示意图。</w:t>
      </w:r>
    </w:p>
    <w:p>
      <w:pPr>
        <w:jc w:val="center"/>
      </w:pPr>
      <w:r>
        <w:drawing>
          <wp:inline xmlns:a="http://schemas.openxmlformats.org/drawingml/2006/main" xmlns:pic="http://schemas.openxmlformats.org/drawingml/2006/picture">
            <wp:extent cx="5303520" cy="2428352"/>
            <wp:docPr id="2" name="Picture 2"/>
            <wp:cNvGraphicFramePr>
              <a:graphicFrameLocks noChangeAspect="1"/>
            </wp:cNvGraphicFramePr>
            <a:graphic>
              <a:graphicData uri="http://schemas.openxmlformats.org/drawingml/2006/picture">
                <pic:pic>
                  <pic:nvPicPr>
                    <pic:cNvPr id="0" name="训练者与专家协作图.png"/>
                    <pic:cNvPicPr/>
                  </pic:nvPicPr>
                  <pic:blipFill>
                    <a:blip r:embed="rId8"/>
                    <a:stretch>
                      <a:fillRect/>
                    </a:stretch>
                  </pic:blipFill>
                  <pic:spPr>
                    <a:xfrm>
                      <a:off x="0" y="0"/>
                      <a:ext cx="5303520" cy="2428352"/>
                    </a:xfrm>
                    <a:prstGeom prst="rect"/>
                  </pic:spPr>
                </pic:pic>
              </a:graphicData>
            </a:graphic>
          </wp:inline>
        </w:drawing>
      </w:r>
    </w:p>
    <w:p>
      <w:pPr/>
      <w:r>
        <w:t>图2为本发明的训练者与专家协作关系示意图。</w:t>
      </w:r>
    </w:p>
    <w:p>
      <w:pPr>
        <w:jc w:val="center"/>
      </w:pPr>
      <w:r>
        <w:drawing>
          <wp:inline xmlns:a="http://schemas.openxmlformats.org/drawingml/2006/main" xmlns:pic="http://schemas.openxmlformats.org/drawingml/2006/picture">
            <wp:extent cx="5303520" cy="3128325"/>
            <wp:docPr id="3" name="Picture 3"/>
            <wp:cNvGraphicFramePr>
              <a:graphicFrameLocks noChangeAspect="1"/>
            </wp:cNvGraphicFramePr>
            <a:graphic>
              <a:graphicData uri="http://schemas.openxmlformats.org/drawingml/2006/picture">
                <pic:pic>
                  <pic:nvPicPr>
                    <pic:cNvPr id="0" name="总体架构图.png"/>
                    <pic:cNvPicPr/>
                  </pic:nvPicPr>
                  <pic:blipFill>
                    <a:blip r:embed="rId9"/>
                    <a:stretch>
                      <a:fillRect/>
                    </a:stretch>
                  </pic:blipFill>
                  <pic:spPr>
                    <a:xfrm>
                      <a:off x="0" y="0"/>
                      <a:ext cx="5303520" cy="3128325"/>
                    </a:xfrm>
                    <a:prstGeom prst="rect"/>
                  </pic:spPr>
                </pic:pic>
              </a:graphicData>
            </a:graphic>
          </wp:inline>
        </w:drawing>
      </w:r>
    </w:p>
    <w:p>
      <w:pPr/>
      <w:r>
        <w:t>图3为本发明的系统总体架构图。</w:t>
      </w:r>
    </w:p>
    <w:p>
      <w:pPr>
        <w:jc w:val="center"/>
      </w:pPr>
      <w:r>
        <w:drawing>
          <wp:inline xmlns:a="http://schemas.openxmlformats.org/drawingml/2006/main" xmlns:pic="http://schemas.openxmlformats.org/drawingml/2006/picture">
            <wp:extent cx="5303520" cy="4269577"/>
            <wp:docPr id="4" name="Picture 4"/>
            <wp:cNvGraphicFramePr>
              <a:graphicFrameLocks noChangeAspect="1"/>
            </wp:cNvGraphicFramePr>
            <a:graphic>
              <a:graphicData uri="http://schemas.openxmlformats.org/drawingml/2006/picture">
                <pic:pic>
                  <pic:nvPicPr>
                    <pic:cNvPr id="0" name="业务流程图.png"/>
                    <pic:cNvPicPr/>
                  </pic:nvPicPr>
                  <pic:blipFill>
                    <a:blip r:embed="rId10"/>
                    <a:stretch>
                      <a:fillRect/>
                    </a:stretch>
                  </pic:blipFill>
                  <pic:spPr>
                    <a:xfrm>
                      <a:off x="0" y="0"/>
                      <a:ext cx="5303520" cy="4269577"/>
                    </a:xfrm>
                    <a:prstGeom prst="rect"/>
                  </pic:spPr>
                </pic:pic>
              </a:graphicData>
            </a:graphic>
          </wp:inline>
        </w:drawing>
      </w:r>
    </w:p>
    <w:p>
      <w:pPr/>
      <w:r>
        <w:t>图4为本发明的业务流程图。</w:t>
      </w:r>
    </w:p>
    <w:p>
      <w:pPr>
        <w:jc w:val="center"/>
      </w:pPr>
      <w:r>
        <w:drawing>
          <wp:inline xmlns:a="http://schemas.openxmlformats.org/drawingml/2006/main" xmlns:pic="http://schemas.openxmlformats.org/drawingml/2006/picture">
            <wp:extent cx="5303520" cy="1574274"/>
            <wp:docPr id="5" name="Picture 5"/>
            <wp:cNvGraphicFramePr>
              <a:graphicFrameLocks noChangeAspect="1"/>
            </wp:cNvGraphicFramePr>
            <a:graphic>
              <a:graphicData uri="http://schemas.openxmlformats.org/drawingml/2006/picture">
                <pic:pic>
                  <pic:nvPicPr>
                    <pic:cNvPr id="0" name="用户故事地图.png"/>
                    <pic:cNvPicPr/>
                  </pic:nvPicPr>
                  <pic:blipFill>
                    <a:blip r:embed="rId11"/>
                    <a:stretch>
                      <a:fillRect/>
                    </a:stretch>
                  </pic:blipFill>
                  <pic:spPr>
                    <a:xfrm>
                      <a:off x="0" y="0"/>
                      <a:ext cx="5303520" cy="1574274"/>
                    </a:xfrm>
                    <a:prstGeom prst="rect"/>
                  </pic:spPr>
                </pic:pic>
              </a:graphicData>
            </a:graphic>
          </wp:inline>
        </w:drawing>
      </w:r>
    </w:p>
    <w:p>
      <w:pPr/>
      <w:r>
        <w:t>图5为本发明的用户故事地图。</w:t>
      </w:r>
    </w:p>
    <w:p>
      <w:pPr>
        <w:jc w:val="center"/>
      </w:pPr>
      <w:r>
        <w:drawing>
          <wp:inline xmlns:a="http://schemas.openxmlformats.org/drawingml/2006/main" xmlns:pic="http://schemas.openxmlformats.org/drawingml/2006/picture">
            <wp:extent cx="5303520" cy="2216299"/>
            <wp:docPr id="6" name="Picture 6"/>
            <wp:cNvGraphicFramePr>
              <a:graphicFrameLocks noChangeAspect="1"/>
            </wp:cNvGraphicFramePr>
            <a:graphic>
              <a:graphicData uri="http://schemas.openxmlformats.org/drawingml/2006/picture">
                <pic:pic>
                  <pic:nvPicPr>
                    <pic:cNvPr id="0" name="音乐源分离算法流程图.png"/>
                    <pic:cNvPicPr/>
                  </pic:nvPicPr>
                  <pic:blipFill>
                    <a:blip r:embed="rId12"/>
                    <a:stretch>
                      <a:fillRect/>
                    </a:stretch>
                  </pic:blipFill>
                  <pic:spPr>
                    <a:xfrm>
                      <a:off x="0" y="0"/>
                      <a:ext cx="5303520" cy="2216299"/>
                    </a:xfrm>
                    <a:prstGeom prst="rect"/>
                  </pic:spPr>
                </pic:pic>
              </a:graphicData>
            </a:graphic>
          </wp:inline>
        </w:drawing>
      </w:r>
    </w:p>
    <w:p>
      <w:pPr/>
      <w:r>
        <w:t>图6为本发明的音乐源分离算法流程图。</w:t>
      </w:r>
    </w:p>
    <w:p>
      <w:pPr>
        <w:jc w:val="center"/>
      </w:pPr>
      <w:r>
        <w:drawing>
          <wp:inline xmlns:a="http://schemas.openxmlformats.org/drawingml/2006/main" xmlns:pic="http://schemas.openxmlformats.org/drawingml/2006/picture">
            <wp:extent cx="5303520" cy="3064026"/>
            <wp:docPr id="7" name="Picture 7"/>
            <wp:cNvGraphicFramePr>
              <a:graphicFrameLocks noChangeAspect="1"/>
            </wp:cNvGraphicFramePr>
            <a:graphic>
              <a:graphicData uri="http://schemas.openxmlformats.org/drawingml/2006/picture">
                <pic:pic>
                  <pic:nvPicPr>
                    <pic:cNvPr id="0" name="1.登录界面.png"/>
                    <pic:cNvPicPr/>
                  </pic:nvPicPr>
                  <pic:blipFill>
                    <a:blip r:embed="rId13"/>
                    <a:stretch>
                      <a:fillRect/>
                    </a:stretch>
                  </pic:blipFill>
                  <pic:spPr>
                    <a:xfrm>
                      <a:off x="0" y="0"/>
                      <a:ext cx="5303520" cy="3064026"/>
                    </a:xfrm>
                    <a:prstGeom prst="rect"/>
                  </pic:spPr>
                </pic:pic>
              </a:graphicData>
            </a:graphic>
          </wp:inline>
        </w:drawing>
      </w:r>
    </w:p>
    <w:p>
      <w:pPr/>
      <w:r>
        <w:t>图7为本发明系统的登录界面截图，展示用户通过账号密码登录及记住密码功能。</w:t>
      </w:r>
    </w:p>
    <w:p>
      <w:pPr>
        <w:jc w:val="center"/>
      </w:pPr>
      <w:r>
        <w:drawing>
          <wp:inline xmlns:a="http://schemas.openxmlformats.org/drawingml/2006/main" xmlns:pic="http://schemas.openxmlformats.org/drawingml/2006/picture">
            <wp:extent cx="5303520" cy="3064765"/>
            <wp:docPr id="8" name="Picture 8"/>
            <wp:cNvGraphicFramePr>
              <a:graphicFrameLocks noChangeAspect="1"/>
            </wp:cNvGraphicFramePr>
            <a:graphic>
              <a:graphicData uri="http://schemas.openxmlformats.org/drawingml/2006/picture">
                <pic:pic>
                  <pic:nvPicPr>
                    <pic:cNvPr id="0" name="2.注册界面.png"/>
                    <pic:cNvPicPr/>
                  </pic:nvPicPr>
                  <pic:blipFill>
                    <a:blip r:embed="rId14"/>
                    <a:stretch>
                      <a:fillRect/>
                    </a:stretch>
                  </pic:blipFill>
                  <pic:spPr>
                    <a:xfrm>
                      <a:off x="0" y="0"/>
                      <a:ext cx="5303520" cy="3064765"/>
                    </a:xfrm>
                    <a:prstGeom prst="rect"/>
                  </pic:spPr>
                </pic:pic>
              </a:graphicData>
            </a:graphic>
          </wp:inline>
        </w:drawing>
      </w:r>
    </w:p>
    <w:p>
      <w:pPr/>
      <w:r>
        <w:t>图8为本发明系统的用户注册界面截图，展示新用户注册时的信息填写与邮箱验证码验证流程。</w:t>
      </w:r>
    </w:p>
    <w:p>
      <w:pPr>
        <w:jc w:val="center"/>
      </w:pPr>
      <w:r>
        <w:drawing>
          <wp:inline xmlns:a="http://schemas.openxmlformats.org/drawingml/2006/main" xmlns:pic="http://schemas.openxmlformats.org/drawingml/2006/picture">
            <wp:extent cx="5303520" cy="3092670"/>
            <wp:docPr id="9" name="Picture 9"/>
            <wp:cNvGraphicFramePr>
              <a:graphicFrameLocks noChangeAspect="1"/>
            </wp:cNvGraphicFramePr>
            <a:graphic>
              <a:graphicData uri="http://schemas.openxmlformats.org/drawingml/2006/picture">
                <pic:pic>
                  <pic:nvPicPr>
                    <pic:cNvPr id="0" name="3.选择混合音频.png"/>
                    <pic:cNvPicPr/>
                  </pic:nvPicPr>
                  <pic:blipFill>
                    <a:blip r:embed="rId15"/>
                    <a:stretch>
                      <a:fillRect/>
                    </a:stretch>
                  </pic:blipFill>
                  <pic:spPr>
                    <a:xfrm>
                      <a:off x="0" y="0"/>
                      <a:ext cx="5303520" cy="3092670"/>
                    </a:xfrm>
                    <a:prstGeom prst="rect"/>
                  </pic:spPr>
                </pic:pic>
              </a:graphicData>
            </a:graphic>
          </wp:inline>
        </w:drawing>
      </w:r>
    </w:p>
    <w:p>
      <w:pPr/>
      <w:r>
        <w:t>图9为本发明系统的选择混合音频界面截图，展示用户在创建分离任务时选择待分离的混合音频文件。</w:t>
      </w:r>
    </w:p>
    <w:p>
      <w:pPr>
        <w:jc w:val="center"/>
      </w:pPr>
      <w:r>
        <w:drawing>
          <wp:inline xmlns:a="http://schemas.openxmlformats.org/drawingml/2006/main" xmlns:pic="http://schemas.openxmlformats.org/drawingml/2006/picture">
            <wp:extent cx="5303520" cy="3092670"/>
            <wp:docPr id="10" name="Picture 10"/>
            <wp:cNvGraphicFramePr>
              <a:graphicFrameLocks noChangeAspect="1"/>
            </wp:cNvGraphicFramePr>
            <a:graphic>
              <a:graphicData uri="http://schemas.openxmlformats.org/drawingml/2006/picture">
                <pic:pic>
                  <pic:nvPicPr>
                    <pic:cNvPr id="0" name="4.选择金标准音频.png"/>
                    <pic:cNvPicPr/>
                  </pic:nvPicPr>
                  <pic:blipFill>
                    <a:blip r:embed="rId16"/>
                    <a:stretch>
                      <a:fillRect/>
                    </a:stretch>
                  </pic:blipFill>
                  <pic:spPr>
                    <a:xfrm>
                      <a:off x="0" y="0"/>
                      <a:ext cx="5303520" cy="3092670"/>
                    </a:xfrm>
                    <a:prstGeom prst="rect"/>
                  </pic:spPr>
                </pic:pic>
              </a:graphicData>
            </a:graphic>
          </wp:inline>
        </w:drawing>
      </w:r>
    </w:p>
    <w:p>
      <w:pPr/>
      <w:r>
        <w:t>图10为本发明系统的选择金标准音频界面截图，展示用户上传参考音轨（金标准）作为后续客观指标计算的基准。</w:t>
      </w:r>
    </w:p>
    <w:p>
      <w:pPr>
        <w:jc w:val="center"/>
      </w:pPr>
      <w:r>
        <w:drawing>
          <wp:inline xmlns:a="http://schemas.openxmlformats.org/drawingml/2006/main" xmlns:pic="http://schemas.openxmlformats.org/drawingml/2006/picture">
            <wp:extent cx="5303520" cy="3118055"/>
            <wp:docPr id="11" name="Picture 11"/>
            <wp:cNvGraphicFramePr>
              <a:graphicFrameLocks noChangeAspect="1"/>
            </wp:cNvGraphicFramePr>
            <a:graphic>
              <a:graphicData uri="http://schemas.openxmlformats.org/drawingml/2006/picture">
                <pic:pic>
                  <pic:nvPicPr>
                    <pic:cNvPr id="0" name="5.选择音乐源分离算法.png"/>
                    <pic:cNvPicPr/>
                  </pic:nvPicPr>
                  <pic:blipFill>
                    <a:blip r:embed="rId17"/>
                    <a:stretch>
                      <a:fillRect/>
                    </a:stretch>
                  </pic:blipFill>
                  <pic:spPr>
                    <a:xfrm>
                      <a:off x="0" y="0"/>
                      <a:ext cx="5303520" cy="3118055"/>
                    </a:xfrm>
                    <a:prstGeom prst="rect"/>
                  </pic:spPr>
                </pic:pic>
              </a:graphicData>
            </a:graphic>
          </wp:inline>
        </w:drawing>
      </w:r>
    </w:p>
    <w:p>
      <w:pPr/>
      <w:r>
        <w:t>图11为本发明系统的选择音乐源分离算法界面截图，展示用户从已集成的多种分离算法中选择目标算法。</w:t>
      </w:r>
    </w:p>
    <w:p>
      <w:pPr>
        <w:jc w:val="center"/>
      </w:pPr>
      <w:r>
        <w:drawing>
          <wp:inline xmlns:a="http://schemas.openxmlformats.org/drawingml/2006/main" xmlns:pic="http://schemas.openxmlformats.org/drawingml/2006/picture">
            <wp:extent cx="5303520" cy="2672707"/>
            <wp:docPr id="12" name="Picture 12"/>
            <wp:cNvGraphicFramePr>
              <a:graphicFrameLocks noChangeAspect="1"/>
            </wp:cNvGraphicFramePr>
            <a:graphic>
              <a:graphicData uri="http://schemas.openxmlformats.org/drawingml/2006/picture">
                <pic:pic>
                  <pic:nvPicPr>
                    <pic:cNvPr id="0" name="6.选择指定音轨.png"/>
                    <pic:cNvPicPr/>
                  </pic:nvPicPr>
                  <pic:blipFill>
                    <a:blip r:embed="rId18"/>
                    <a:stretch>
                      <a:fillRect/>
                    </a:stretch>
                  </pic:blipFill>
                  <pic:spPr>
                    <a:xfrm>
                      <a:off x="0" y="0"/>
                      <a:ext cx="5303520" cy="2672707"/>
                    </a:xfrm>
                    <a:prstGeom prst="rect"/>
                  </pic:spPr>
                </pic:pic>
              </a:graphicData>
            </a:graphic>
          </wp:inline>
        </w:drawing>
      </w:r>
    </w:p>
    <w:p>
      <w:pPr/>
      <w:r>
        <w:t>图12为本发明系统的选择指定音轨界面截图，展示用户指定需要分离的目标声部（人声、鼓、贝斯、其他）。</w:t>
      </w:r>
    </w:p>
    <w:p>
      <w:pPr>
        <w:jc w:val="center"/>
      </w:pPr>
      <w:r>
        <w:drawing>
          <wp:inline xmlns:a="http://schemas.openxmlformats.org/drawingml/2006/main" xmlns:pic="http://schemas.openxmlformats.org/drawingml/2006/picture">
            <wp:extent cx="5303520" cy="3107367"/>
            <wp:docPr id="13" name="Picture 13"/>
            <wp:cNvGraphicFramePr>
              <a:graphicFrameLocks noChangeAspect="1"/>
            </wp:cNvGraphicFramePr>
            <a:graphic>
              <a:graphicData uri="http://schemas.openxmlformats.org/drawingml/2006/picture">
                <pic:pic>
                  <pic:nvPicPr>
                    <pic:cNvPr id="0" name="7.可视化分析.png"/>
                    <pic:cNvPicPr/>
                  </pic:nvPicPr>
                  <pic:blipFill>
                    <a:blip r:embed="rId19"/>
                    <a:stretch>
                      <a:fillRect/>
                    </a:stretch>
                  </pic:blipFill>
                  <pic:spPr>
                    <a:xfrm>
                      <a:off x="0" y="0"/>
                      <a:ext cx="5303520" cy="3107367"/>
                    </a:xfrm>
                    <a:prstGeom prst="rect"/>
                  </pic:spPr>
                </pic:pic>
              </a:graphicData>
            </a:graphic>
          </wp:inline>
        </w:drawing>
      </w:r>
    </w:p>
    <w:p>
      <w:pPr/>
      <w:r>
        <w:t>图13为本发明系统的可视化分析界面截图，展示分离结果的波形对比与频谱对比可视化。</w:t>
      </w:r>
    </w:p>
    <w:p>
      <w:pPr>
        <w:jc w:val="center"/>
      </w:pPr>
      <w:r>
        <w:drawing>
          <wp:inline xmlns:a="http://schemas.openxmlformats.org/drawingml/2006/main" xmlns:pic="http://schemas.openxmlformats.org/drawingml/2006/picture">
            <wp:extent cx="5303520" cy="2237488"/>
            <wp:docPr id="14" name="Picture 14"/>
            <wp:cNvGraphicFramePr>
              <a:graphicFrameLocks noChangeAspect="1"/>
            </wp:cNvGraphicFramePr>
            <a:graphic>
              <a:graphicData uri="http://schemas.openxmlformats.org/drawingml/2006/picture">
                <pic:pic>
                  <pic:nvPicPr>
                    <pic:cNvPr id="0" name="8.频率分析对比.png"/>
                    <pic:cNvPicPr/>
                  </pic:nvPicPr>
                  <pic:blipFill>
                    <a:blip r:embed="rId20"/>
                    <a:stretch>
                      <a:fillRect/>
                    </a:stretch>
                  </pic:blipFill>
                  <pic:spPr>
                    <a:xfrm>
                      <a:off x="0" y="0"/>
                      <a:ext cx="5303520" cy="2237488"/>
                    </a:xfrm>
                    <a:prstGeom prst="rect"/>
                  </pic:spPr>
                </pic:pic>
              </a:graphicData>
            </a:graphic>
          </wp:inline>
        </w:drawing>
      </w:r>
    </w:p>
    <w:p>
      <w:pPr/>
      <w:r>
        <w:t>图14为本发明系统的频率分析对比界面截图，展示不同算法在同一音频上的频谱差异对比。</w:t>
      </w:r>
    </w:p>
    <w:p>
      <w:pPr>
        <w:jc w:val="center"/>
      </w:pPr>
      <w:r>
        <w:drawing>
          <wp:inline xmlns:a="http://schemas.openxmlformats.org/drawingml/2006/main" xmlns:pic="http://schemas.openxmlformats.org/drawingml/2006/picture">
            <wp:extent cx="5303520" cy="3752714"/>
            <wp:docPr id="15" name="Picture 15"/>
            <wp:cNvGraphicFramePr>
              <a:graphicFrameLocks noChangeAspect="1"/>
            </wp:cNvGraphicFramePr>
            <a:graphic>
              <a:graphicData uri="http://schemas.openxmlformats.org/drawingml/2006/picture">
                <pic:pic>
                  <pic:nvPicPr>
                    <pic:cNvPr id="0" name="9.专家评分与实时评分统计.png"/>
                    <pic:cNvPicPr/>
                  </pic:nvPicPr>
                  <pic:blipFill>
                    <a:blip r:embed="rId21"/>
                    <a:stretch>
                      <a:fillRect/>
                    </a:stretch>
                  </pic:blipFill>
                  <pic:spPr>
                    <a:xfrm>
                      <a:off x="0" y="0"/>
                      <a:ext cx="5303520" cy="3752714"/>
                    </a:xfrm>
                    <a:prstGeom prst="rect"/>
                  </pic:spPr>
                </pic:pic>
              </a:graphicData>
            </a:graphic>
          </wp:inline>
        </w:drawing>
      </w:r>
    </w:p>
    <w:p>
      <w:pPr/>
      <w:r>
        <w:t>图15为本发明系统的专家评分与实时评分统计界面截图，展示专家的三维度（音质、干扰抑制、伪影控制）评分面板及评分结果的实时统计图表。</w:t>
      </w:r>
    </w:p>
    <w:p>
      <w:pPr>
        <w:jc w:val="center"/>
      </w:pPr>
      <w:r>
        <w:drawing>
          <wp:inline xmlns:a="http://schemas.openxmlformats.org/drawingml/2006/main" xmlns:pic="http://schemas.openxmlformats.org/drawingml/2006/picture">
            <wp:extent cx="5303520" cy="3064765"/>
            <wp:docPr id="16" name="Picture 16"/>
            <wp:cNvGraphicFramePr>
              <a:graphicFrameLocks noChangeAspect="1"/>
            </wp:cNvGraphicFramePr>
            <a:graphic>
              <a:graphicData uri="http://schemas.openxmlformats.org/drawingml/2006/picture">
                <pic:pic>
                  <pic:nvPicPr>
                    <pic:cNvPr id="0" name="10.分离历史记录.png"/>
                    <pic:cNvPicPr/>
                  </pic:nvPicPr>
                  <pic:blipFill>
                    <a:blip r:embed="rId22"/>
                    <a:stretch>
                      <a:fillRect/>
                    </a:stretch>
                  </pic:blipFill>
                  <pic:spPr>
                    <a:xfrm>
                      <a:off x="0" y="0"/>
                      <a:ext cx="5303520" cy="3064765"/>
                    </a:xfrm>
                    <a:prstGeom prst="rect"/>
                  </pic:spPr>
                </pic:pic>
              </a:graphicData>
            </a:graphic>
          </wp:inline>
        </w:drawing>
      </w:r>
    </w:p>
    <w:p>
      <w:pPr/>
      <w:r>
        <w:t>图16为本发明系统的分离历史记录界面截图，展示用户历史分离任务的列表及任务状态。</w:t>
      </w:r>
    </w:p>
    <w:p>
      <w:pPr>
        <w:jc w:val="center"/>
      </w:pPr>
      <w:r>
        <w:drawing>
          <wp:inline xmlns:a="http://schemas.openxmlformats.org/drawingml/2006/main" xmlns:pic="http://schemas.openxmlformats.org/drawingml/2006/picture">
            <wp:extent cx="5303520" cy="3064026"/>
            <wp:docPr id="17" name="Picture 17"/>
            <wp:cNvGraphicFramePr>
              <a:graphicFrameLocks noChangeAspect="1"/>
            </wp:cNvGraphicFramePr>
            <a:graphic>
              <a:graphicData uri="http://schemas.openxmlformats.org/drawingml/2006/picture">
                <pic:pic>
                  <pic:nvPicPr>
                    <pic:cNvPr id="0" name="11.社区评估数据.png"/>
                    <pic:cNvPicPr/>
                  </pic:nvPicPr>
                  <pic:blipFill>
                    <a:blip r:embed="rId23"/>
                    <a:stretch>
                      <a:fillRect/>
                    </a:stretch>
                  </pic:blipFill>
                  <pic:spPr>
                    <a:xfrm>
                      <a:off x="0" y="0"/>
                      <a:ext cx="5303520" cy="3064026"/>
                    </a:xfrm>
                    <a:prstGeom prst="rect"/>
                  </pic:spPr>
                </pic:pic>
              </a:graphicData>
            </a:graphic>
          </wp:inline>
        </w:drawing>
      </w:r>
    </w:p>
    <w:p>
      <w:pPr/>
      <w:r>
        <w:t>图17为本发明系统的社区评估数据界面截图，展示所有用户公开的评估数据汇总与对比。</w:t>
      </w:r>
    </w:p>
    <w:p>
      <w:pPr>
        <w:jc w:val="center"/>
      </w:pPr>
      <w:r>
        <w:drawing>
          <wp:inline xmlns:a="http://schemas.openxmlformats.org/drawingml/2006/main" xmlns:pic="http://schemas.openxmlformats.org/drawingml/2006/picture">
            <wp:extent cx="5303520" cy="3064026"/>
            <wp:docPr id="18" name="Picture 18"/>
            <wp:cNvGraphicFramePr>
              <a:graphicFrameLocks noChangeAspect="1"/>
            </wp:cNvGraphicFramePr>
            <a:graphic>
              <a:graphicData uri="http://schemas.openxmlformats.org/drawingml/2006/picture">
                <pic:pic>
                  <pic:nvPicPr>
                    <pic:cNvPr id="0" name="12.音频资源管理.png"/>
                    <pic:cNvPicPr/>
                  </pic:nvPicPr>
                  <pic:blipFill>
                    <a:blip r:embed="rId24"/>
                    <a:stretch>
                      <a:fillRect/>
                    </a:stretch>
                  </pic:blipFill>
                  <pic:spPr>
                    <a:xfrm>
                      <a:off x="0" y="0"/>
                      <a:ext cx="5303520" cy="3064026"/>
                    </a:xfrm>
                    <a:prstGeom prst="rect"/>
                  </pic:spPr>
                </pic:pic>
              </a:graphicData>
            </a:graphic>
          </wp:inline>
        </w:drawing>
      </w:r>
    </w:p>
    <w:p>
      <w:pPr/>
      <w:r>
        <w:t>图18为本发明系统的音频资源管理界面截图，展示公共音频资源的上传、浏览、分类与下载功能。</w:t>
      </w:r>
    </w:p>
    <w:p>
      <w:pPr>
        <w:jc w:val="center"/>
      </w:pPr>
      <w:r>
        <w:drawing>
          <wp:inline xmlns:a="http://schemas.openxmlformats.org/drawingml/2006/main" xmlns:pic="http://schemas.openxmlformats.org/drawingml/2006/picture">
            <wp:extent cx="5303520" cy="3069689"/>
            <wp:docPr id="19" name="Picture 19"/>
            <wp:cNvGraphicFramePr>
              <a:graphicFrameLocks noChangeAspect="1"/>
            </wp:cNvGraphicFramePr>
            <a:graphic>
              <a:graphicData uri="http://schemas.openxmlformats.org/drawingml/2006/picture">
                <pic:pic>
                  <pic:nvPicPr>
                    <pic:cNvPr id="0" name="13.后台管理系统.png"/>
                    <pic:cNvPicPr/>
                  </pic:nvPicPr>
                  <pic:blipFill>
                    <a:blip r:embed="rId25"/>
                    <a:stretch>
                      <a:fillRect/>
                    </a:stretch>
                  </pic:blipFill>
                  <pic:spPr>
                    <a:xfrm>
                      <a:off x="0" y="0"/>
                      <a:ext cx="5303520" cy="3069689"/>
                    </a:xfrm>
                    <a:prstGeom prst="rect"/>
                  </pic:spPr>
                </pic:pic>
              </a:graphicData>
            </a:graphic>
          </wp:inline>
        </w:drawing>
      </w:r>
    </w:p>
    <w:p>
      <w:pPr/>
      <w:r>
        <w:t>图19为本发明系统的后台管理系统界面截图，展示管理员对用户审批、系统配置、日志审计等功能的管理面板。</w:t>
      </w:r>
    </w:p>
    <w:p>
      <w:pPr>
        <w:jc w:val="center"/>
      </w:pPr>
      <w:r>
        <w:drawing>
          <wp:inline xmlns:a="http://schemas.openxmlformats.org/drawingml/2006/main" xmlns:pic="http://schemas.openxmlformats.org/drawingml/2006/picture">
            <wp:extent cx="5303520" cy="3977640"/>
            <wp:docPr id="20" name="Picture 20"/>
            <wp:cNvGraphicFramePr>
              <a:graphicFrameLocks noChangeAspect="1"/>
            </wp:cNvGraphicFramePr>
            <a:graphic>
              <a:graphicData uri="http://schemas.openxmlformats.org/drawingml/2006/picture">
                <pic:pic>
                  <pic:nvPicPr>
                    <pic:cNvPr id="0" name="IMG_20260715_191316.jpg"/>
                    <pic:cNvPicPr/>
                  </pic:nvPicPr>
                  <pic:blipFill>
                    <a:blip r:embed="rId26"/>
                    <a:stretch>
                      <a:fillRect/>
                    </a:stretch>
                  </pic:blipFill>
                  <pic:spPr>
                    <a:xfrm>
                      <a:off x="0" y="0"/>
                      <a:ext cx="5303520" cy="3977640"/>
                    </a:xfrm>
                    <a:prstGeom prst="rect"/>
                  </pic:spPr>
                </pic:pic>
              </a:graphicData>
            </a:graphic>
          </wp:inline>
        </w:drawing>
      </w:r>
    </w:p>
    <w:p>
      <w:pPr/>
      <w:r>
        <w:t>图20为本发明的研发环境照片一，展示开发工作站的实际工作场景。</w:t>
      </w:r>
    </w:p>
    <w:p>
      <w:pPr>
        <w:jc w:val="center"/>
      </w:pPr>
      <w:r>
        <w:drawing>
          <wp:inline xmlns:a="http://schemas.openxmlformats.org/drawingml/2006/main" xmlns:pic="http://schemas.openxmlformats.org/drawingml/2006/picture">
            <wp:extent cx="5303520" cy="3977640"/>
            <wp:docPr id="21" name="Picture 21"/>
            <wp:cNvGraphicFramePr>
              <a:graphicFrameLocks noChangeAspect="1"/>
            </wp:cNvGraphicFramePr>
            <a:graphic>
              <a:graphicData uri="http://schemas.openxmlformats.org/drawingml/2006/picture">
                <pic:pic>
                  <pic:nvPicPr>
                    <pic:cNvPr id="0" name="IMG_20260715_191355.jpg"/>
                    <pic:cNvPicPr/>
                  </pic:nvPicPr>
                  <pic:blipFill>
                    <a:blip r:embed="rId27"/>
                    <a:stretch>
                      <a:fillRect/>
                    </a:stretch>
                  </pic:blipFill>
                  <pic:spPr>
                    <a:xfrm>
                      <a:off x="0" y="0"/>
                      <a:ext cx="5303520" cy="3977640"/>
                    </a:xfrm>
                    <a:prstGeom prst="rect"/>
                  </pic:spPr>
                </pic:pic>
              </a:graphicData>
            </a:graphic>
          </wp:inline>
        </w:drawing>
      </w:r>
    </w:p>
    <w:p>
      <w:pPr/>
      <w:r>
        <w:t>图21为本发明的研发环境照片二，展示系统开发与调试过程。</w:t>
      </w:r>
    </w:p>
    <w:p>
      <w:pPr>
        <w:jc w:val="center"/>
      </w:pPr>
      <w:r>
        <w:drawing>
          <wp:inline xmlns:a="http://schemas.openxmlformats.org/drawingml/2006/main" xmlns:pic="http://schemas.openxmlformats.org/drawingml/2006/picture">
            <wp:extent cx="5303520" cy="3977640"/>
            <wp:docPr id="22" name="Picture 22"/>
            <wp:cNvGraphicFramePr>
              <a:graphicFrameLocks noChangeAspect="1"/>
            </wp:cNvGraphicFramePr>
            <a:graphic>
              <a:graphicData uri="http://schemas.openxmlformats.org/drawingml/2006/picture">
                <pic:pic>
                  <pic:nvPicPr>
                    <pic:cNvPr id="0" name="IMG_20260715_191401.jpg"/>
                    <pic:cNvPicPr/>
                  </pic:nvPicPr>
                  <pic:blipFill>
                    <a:blip r:embed="rId28"/>
                    <a:stretch>
                      <a:fillRect/>
                    </a:stretch>
                  </pic:blipFill>
                  <pic:spPr>
                    <a:xfrm>
                      <a:off x="0" y="0"/>
                      <a:ext cx="5303520" cy="3977640"/>
                    </a:xfrm>
                    <a:prstGeom prst="rect"/>
                  </pic:spPr>
                </pic:pic>
              </a:graphicData>
            </a:graphic>
          </wp:inline>
        </w:drawing>
      </w:r>
    </w:p>
    <w:p>
      <w:pPr/>
      <w:r>
        <w:t>图22为本发明的研发环境照片三，展示系统运行测试场景。</w:t>
      </w:r>
    </w:p>
    <w:p w14:paraId="3C67F9BA">
      <w:pPr>
        <w:pStyle w:val="2"/>
        <w:spacing w:before="120" w:line="360" w:lineRule="auto"/>
        <w:rPr>
          <w:rFonts w:hint="eastAsia"/>
        </w:rPr>
      </w:pPr>
      <w:r>
        <w:t>具体实施方式</w:t>
      </w:r>
    </w:p>
    <w:p w14:paraId="36015BC1">
      <w:pPr>
        <w:spacing w:before="60" w:after="60" w:line="360" w:lineRule="auto"/>
        <w:ind w:firstLine="480"/>
        <w:rPr>
          <w:rFonts w:hint="eastAsia"/>
        </w:rPr>
      </w:pPr>
      <w:r>
        <w:t>下面结合附图对本发明的具体实施方式进行详细说明。</w:t>
      </w:r>
    </w:p>
    <w:p w14:paraId="01BB818E">
      <w:pPr>
        <w:pStyle w:val="3"/>
        <w:spacing w:before="120" w:line="360" w:lineRule="auto"/>
        <w:rPr>
          <w:rFonts w:hint="eastAsia"/>
        </w:rPr>
      </w:pPr>
      <w:r>
        <w:t>实施例一：系统整体架构</w:t>
      </w:r>
    </w:p>
    <w:p w14:paraId="1703AF45">
      <w:pPr>
        <w:spacing w:before="60" w:after="60" w:line="360" w:lineRule="auto"/>
        <w:ind w:firstLine="480"/>
        <w:rPr>
          <w:rFonts w:hint="eastAsia"/>
        </w:rPr>
      </w:pPr>
      <w:r>
        <w:t>本实施例提供一种面向音乐源分离的主客观协同评估系统，采用图3所示的四层解耦架构。</w:t>
      </w:r>
    </w:p>
    <w:p w14:paraId="2A1662BE">
      <w:pPr>
        <w:spacing w:before="60" w:after="60" w:line="360" w:lineRule="auto"/>
        <w:ind w:firstLine="480"/>
        <w:rPr>
          <w:rFonts w:hint="eastAsia"/>
        </w:rPr>
      </w:pPr>
      <w:r>
        <w:t>在数据层，使用MySQL 8.x关系型数据库进行数据持久化，设计了14张数据表，包括users（用户表）、separation_tasks（分离任务表）、stem_files（分离音频文件表）、scores（主观评分表）、audio_resources（音频资源表）、system_logs（系统日志表）、system_configs（系统配置表）、notifications（通知表）等。所有表的主键采用雪花ID（Snowflake ID）生成器生成，该生成器为64位分布式唯一ID，由41位时间戳、10位数据中心/机器ID和12位序列号组成，确保分布式场景下的全局唯一性。API响应中所有ID被序列化为字符串以避免JavaScript整数精度丢失问题。</w:t>
      </w:r>
    </w:p>
    <w:p w14:paraId="26145A67">
      <w:pPr>
        <w:spacing w:before="60" w:after="60" w:line="360" w:lineRule="auto"/>
        <w:ind w:firstLine="480"/>
        <w:rPr>
          <w:rFonts w:hint="eastAsia"/>
        </w:rPr>
      </w:pPr>
      <w:r>
        <w:t>在技术层，后端采用Python FastAPI框架和Uvicorn ASGI服务器，支持异步请求处理。前端采用React框架和Recharts图表库进行数据可视化。分离引擎组件通过子进程调用的方式与模型推理脚本（inference.py）交互，避免了PyTorch等重依赖与后端主进程的版本冲突。</w:t>
      </w:r>
    </w:p>
    <w:p w14:paraId="36726BA4">
      <w:pPr>
        <w:pStyle w:val="3"/>
        <w:spacing w:before="120" w:line="360" w:lineRule="auto"/>
        <w:rPr>
          <w:rFonts w:hint="eastAsia"/>
        </w:rPr>
      </w:pPr>
      <w:r>
        <w:t>实施例二：多引擎分离架构</w:t>
      </w:r>
    </w:p>
    <w:p w14:paraId="4A7D32F7">
      <w:pPr>
        <w:spacing w:before="60" w:after="60" w:line="360" w:lineRule="auto"/>
        <w:ind w:firstLine="480"/>
        <w:rPr>
          <w:rFonts w:hint="eastAsia"/>
        </w:rPr>
      </w:pPr>
      <w:r>
        <w:t>本实施例详细描述图7所示的多引擎分离架构。定义抽象基类SeparationEngine，包含async def separate(input_path, algorithm, results_dir, task_id)接口方法，返回统一的SeparationResult数据结构（包含stems路径映射和可选的客观指标）。</w:t>
      </w:r>
    </w:p>
    <w:p w14:paraId="733CB6E3">
      <w:pPr>
        <w:spacing w:before="60" w:after="60" w:line="360" w:lineRule="auto"/>
        <w:ind w:firstLine="480"/>
        <w:rPr>
          <w:rFonts w:hint="eastAsia"/>
        </w:rPr>
      </w:pPr>
      <w:r>
        <w:t>MSSLocalEngine为默认引擎，通过子进程调用ZFTurbo Music-Source-Separation-Training仓库的inference.py脚本。该引擎通过_MSSModelSpec数据类维护各算法（MDX23C、Demucs4HT、Band Split RoFormer、SCNet）的模型类型、默认配置文件和权重文件路径的映射关系。权重文件路径和配置文件路径均可通过环境变量覆盖。在Windows平台上，子进程管理使用专门的_run_subprocess_windows辅助函数，通过asyncio.to_thread在线程中运行同步subprocess.Popen。在Linux/Mac平台上，使用asyncio.create_subprocess_exec进行原生异步子进程管理。</w:t>
      </w:r>
    </w:p>
    <w:p w14:paraId="2A122960">
      <w:pPr>
        <w:spacing w:before="60" w:after="60" w:line="360" w:lineRule="auto"/>
        <w:ind w:firstLine="480"/>
        <w:rPr>
          <w:rFonts w:hint="eastAsia"/>
        </w:rPr>
      </w:pPr>
      <w:r>
        <w:t>MockSeparationEngine使用ffmpeg音频滤波器（highpass/lowpass/bandpass/treble）对输入音频进行不同频段的滤波处理来模拟分离效果，用于前端联调测试和演示场景。当ffmpeg不可用时，回退到正弦波生成方案。</w:t>
      </w:r>
    </w:p>
    <w:p w14:paraId="4E988E18">
      <w:pPr>
        <w:spacing w:before="60" w:after="60" w:line="360" w:lineRule="auto"/>
        <w:ind w:firstLine="480"/>
        <w:rPr>
          <w:rFonts w:hint="eastAsia"/>
        </w:rPr>
      </w:pPr>
      <w:r>
        <w:t>HttpSeparationEngine通过httpx异步HTTP客户端向远程模型服务发起multipart/form-data POST请求，接收base64编码的WAV音频流和可选的客观指标数据。LocalSeparationEngine通过子进程调用用户自定义的本地推理脚本。</w:t>
      </w:r>
    </w:p>
    <w:p w14:paraId="3CF7DD82">
      <w:pPr>
        <w:spacing w:before="60" w:after="60" w:line="360" w:lineRule="auto"/>
        <w:ind w:firstLine="480"/>
        <w:rPr>
          <w:rFonts w:hint="eastAsia"/>
        </w:rPr>
      </w:pPr>
      <w:r>
        <w:t>引擎选择通过环境变量SEPARATION_ENGINE控制，工厂函数build_separation_engine_from_env()读取该变量并返回对应的引擎实例，默认值为mss。</w:t>
      </w:r>
    </w:p>
    <w:p w14:paraId="05DEF174">
      <w:pPr>
        <w:pStyle w:val="3"/>
        <w:spacing w:before="120" w:line="360" w:lineRule="auto"/>
        <w:rPr>
          <w:rFonts w:hint="eastAsia"/>
        </w:rPr>
      </w:pPr>
      <w:r>
        <w:t>实施例三：任务队列与取消机制</w:t>
      </w:r>
    </w:p>
    <w:p w14:paraId="2184CD85">
      <w:pPr>
        <w:spacing w:before="60" w:after="60" w:line="360" w:lineRule="auto"/>
        <w:ind w:firstLine="480"/>
        <w:rPr>
          <w:rFonts w:hint="eastAsia"/>
        </w:rPr>
      </w:pPr>
      <w:r>
        <w:t>任务队列管理器TaskQueueManager采用单例模式实现，内部维护一个asyncio.Queue作为FIFO任务队列。任务的入队、出队和处理状态通过_separation_tasks字典进行跟踪。队列管理器支持以下操作：enqueue(task_id)将任务加入队列并启动后台处理协程；get_queue_position(task_id)返回任务在队列中的当前位置；cancel_task(task_id)实现双重取消——从队列中移除待处理任务或将正在处理的任务通过全局取消标记集合_CANCELLED_TASK_IDS标记为已取消。</w:t>
      </w:r>
    </w:p>
    <w:p w14:paraId="32D01DB7">
      <w:pPr>
        <w:spacing w:before="60" w:after="60" w:line="360" w:lineRule="auto"/>
        <w:ind w:firstLine="480"/>
        <w:rPr>
          <w:rFonts w:hint="eastAsia"/>
        </w:rPr>
      </w:pPr>
      <w:r>
        <w:t>取消机制的详细实现如下：后端API端点/api/tasks/{task_id}/cancel调用mark_task_cancelled(task_id)将任务ID加入_CANCELLED_TASK_IDS集合。分离引擎在执行子进程输出读取的循环中，通过is_task_marked_cancelled(task_id)轮询检查该标记。一旦检测到取消标记，引擎首先尝试terminate()优雅终止子进程，若失败则调用kill()强制终止，最后抛出RuntimeError("CANCELLED_BY_USER")通知上层服务。任务完成后，通过clear_task_cancelled(task_id)清理取消标记。</w:t>
      </w:r>
    </w:p>
    <w:p w14:paraId="29B1900B">
      <w:pPr>
        <w:spacing w:before="60" w:after="60" w:line="360" w:lineRule="auto"/>
        <w:ind w:firstLine="480"/>
        <w:rPr>
          <w:rFonts w:hint="eastAsia"/>
        </w:rPr>
      </w:pPr>
      <w:r>
        <w:t>系统支持通过环境变量SEPARATION_COMPUTE_MODE或数据库系统配置项separation_compute_mode动态切换CPU/GPU计算模式。在CPU模式下，自动设置CUDA_VISIBLE_DEVICES=""并添加--force_cpu参数到inference.py调用命令中。</w:t>
      </w:r>
    </w:p>
    <w:p w14:paraId="53D4A6EB">
      <w:pPr>
        <w:pStyle w:val="3"/>
        <w:spacing w:before="120" w:line="360" w:lineRule="auto"/>
        <w:rPr>
          <w:rFonts w:hint="eastAsia"/>
        </w:rPr>
      </w:pPr>
      <w:r>
        <w:t>实施例四：客观指标计算方法</w:t>
      </w:r>
    </w:p>
    <w:p w14:paraId="5F97F42D">
      <w:pPr>
        <w:spacing w:before="60" w:after="60" w:line="360" w:lineRule="auto"/>
        <w:ind w:firstLine="480"/>
        <w:rPr>
          <w:rFonts w:hint="eastAsia"/>
        </w:rPr>
      </w:pPr>
      <w:r>
        <w:t>本实施例详细描述步骤S4中的客观指标计算方法。</w:t>
      </w:r>
    </w:p>
    <w:p w14:paraId="2088455B">
      <w:pPr>
        <w:spacing w:before="60" w:after="60" w:line="360" w:lineRule="auto"/>
        <w:ind w:firstLine="480"/>
        <w:rPr>
          <w:rFonts w:hint="eastAsia"/>
        </w:rPr>
      </w:pPr>
      <w:r>
        <w:t>对于两源假设场景（mixture = target + interference），objective_metrics.py模块采用最小二乘投影方法：将混合信号向目标源子空间和干扰源子空间投影，将估计信号分解为目标分量、干扰分量和伪影分量，再分别计算SDR、SIR、SAR和SI-SDR。SI-SDR通过计算最优缩放因子α = &lt;</w:t>
      </w:r>
      <w:r>
        <w:rPr>
          <w:rFonts w:ascii="Cambria" w:hAnsi="Cambria" w:cs="Cambria"/>
        </w:rPr>
        <w:t>ŝ</w:t>
      </w:r>
      <w:r>
        <w:t>_ref, s_ref&gt; / ||s_ref||</w:t>
      </w:r>
      <w:r>
        <w:rPr>
          <w:rFonts w:hint="eastAsia"/>
        </w:rPr>
        <w:t>²</w:t>
      </w:r>
      <w:r>
        <w:t>实现尺度不变性。同时计算残差音频r = mixture - estimate供主观试听使用。</w:t>
      </w:r>
    </w:p>
    <w:p w14:paraId="0336DA16">
      <w:pPr>
        <w:spacing w:before="60" w:after="60" w:line="360" w:lineRule="auto"/>
        <w:ind w:firstLine="480"/>
        <w:rPr>
          <w:rFonts w:hint="eastAsia"/>
        </w:rPr>
      </w:pPr>
      <w:r>
        <w:t>对于多源完整场景，objective_metrics_multisource.py模块实现BSS Eval v3（Vincent et al. 2006）的全套投影分解算法。通过_hamo_product函数实现Hadamard积辅助运算，通过_projection_operator函数实现向参考信号子空间的正交投影。将估计信号</w:t>
      </w:r>
      <m:oMath>
        <m:sSub>
          <m:sSubPr>
            <m:ctrlPr>
              <w:rPr>
                <w:rFonts w:ascii="Cambria Math" w:hAnsi="Cambria Math" w:cs="Cambria"/>
              </w:rPr>
            </m:ctrlPr>
          </m:sSubPr>
          <m:e>
            <m:r>
              <m:rPr/>
              <w:rPr>
                <w:rFonts w:ascii="Cambria Math" w:hAnsi="Cambria Math" w:cs="Cambria"/>
              </w:rPr>
              <m:t>ŝ</m:t>
            </m:r>
            <m:ctrlPr>
              <w:rPr>
                <w:rFonts w:ascii="Cambria Math" w:hAnsi="Cambria Math" w:cs="Cambria"/>
              </w:rPr>
            </m:ctrlPr>
          </m:e>
          <m:sub>
            <m:r>
              <m:rPr/>
              <w:rPr>
                <w:rFonts w:ascii="Cambria Math" w:hAnsi="Cambria Math" w:cs="Cambria"/>
              </w:rPr>
              <m:t>j</m:t>
            </m:r>
            <m:ctrlPr>
              <w:rPr>
                <w:rFonts w:ascii="Cambria Math" w:hAnsi="Cambria Math" w:cs="Cambria"/>
              </w:rPr>
            </m:ctrlPr>
          </m:sub>
        </m:sSub>
      </m:oMath>
      <w:r>
        <w:t>分解为：</w:t>
      </w:r>
      <m:oMath>
        <m:sSub>
          <m:sSubPr>
            <m:ctrlPr>
              <w:rPr>
                <w:rFonts w:ascii="Cambria Math" w:hAnsi="Cambria Math" w:cs="Cambria"/>
              </w:rPr>
            </m:ctrlPr>
          </m:sSubPr>
          <m:e>
            <m:r>
              <m:rPr/>
              <w:rPr>
                <w:rFonts w:ascii="Cambria Math" w:hAnsi="Cambria Math" w:cs="Cambria"/>
              </w:rPr>
              <m:t>ŝ</m:t>
            </m:r>
            <m:ctrlPr>
              <w:rPr>
                <w:rFonts w:ascii="Cambria Math" w:hAnsi="Cambria Math" w:cs="Cambria"/>
              </w:rPr>
            </m:ctrlPr>
          </m:e>
          <m:sub>
            <m:r>
              <m:rPr/>
              <w:rPr>
                <w:rFonts w:ascii="Cambria Math" w:hAnsi="Cambria Math" w:cs="Cambria"/>
              </w:rPr>
              <m:t>j</m:t>
            </m:r>
            <m:ctrlPr>
              <w:rPr>
                <w:rFonts w:ascii="Cambria Math" w:hAnsi="Cambria Math" w:cs="Cambria"/>
              </w:rPr>
            </m:ctrlPr>
          </m:sub>
        </m:sSub>
        <m:r>
          <m:rPr/>
          <w:rPr>
            <w:rFonts w:ascii="Cambria Math" w:hAnsi="Cambria Math" w:cs="Cambria"/>
          </w:rPr>
          <m:t>=</m:t>
        </m:r>
        <m:sSub>
          <m:sSubPr>
            <m:ctrlPr>
              <w:rPr>
                <w:rFonts w:ascii="Cambria Math" w:hAnsi="Cambria Math" w:cs="Cambria"/>
              </w:rPr>
            </m:ctrlPr>
          </m:sSubPr>
          <m:e>
            <m:r>
              <m:rPr/>
              <w:rPr>
                <w:rFonts w:ascii="Cambria Math" w:hAnsi="Cambria Math" w:cs="Cambria"/>
              </w:rPr>
              <m:t>s</m:t>
            </m:r>
            <m:ctrlPr>
              <w:rPr>
                <w:rFonts w:ascii="Cambria Math" w:hAnsi="Cambria Math" w:cs="Cambria"/>
              </w:rPr>
            </m:ctrlPr>
          </m:e>
          <m:sub>
            <m:r>
              <m:rPr/>
              <w:rPr>
                <w:rFonts w:ascii="Cambria Math" w:hAnsi="Cambria Math" w:cs="Cambria"/>
              </w:rPr>
              <m:t>j</m:t>
            </m:r>
            <m:ctrlPr>
              <w:rPr>
                <w:rFonts w:ascii="Cambria Math" w:hAnsi="Cambria Math" w:cs="Cambria"/>
              </w:rPr>
            </m:ctrlPr>
          </m:sub>
        </m:sSub>
        <m:r>
          <m:rPr/>
          <w:rPr>
            <w:rFonts w:ascii="Cambria Math" w:hAnsi="Cambria Math" w:cs="Cambria"/>
          </w:rPr>
          <m:t>+</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s</m:t>
            </m:r>
            <m:ctrlPr>
              <w:rPr>
                <w:rFonts w:ascii="Cambria Math" w:hAnsi="Cambria Math" w:cs="Cambria"/>
              </w:rPr>
            </m:ctrlPr>
          </m:sub>
        </m:sSub>
        <m:r>
          <m:rPr/>
          <w:rPr>
            <w:rFonts w:ascii="Cambria Math" w:hAnsi="Cambria Math" w:cs="Cambria"/>
          </w:rPr>
          <m:t>pat+</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i</m:t>
            </m:r>
            <m:ctrlPr>
              <w:rPr>
                <w:rFonts w:ascii="Cambria Math" w:hAnsi="Cambria Math" w:cs="Cambria"/>
              </w:rPr>
            </m:ctrlPr>
          </m:sub>
        </m:sSub>
        <m:r>
          <m:rPr/>
          <w:rPr>
            <w:rFonts w:ascii="Cambria Math" w:hAnsi="Cambria Math" w:cs="Cambria"/>
          </w:rPr>
          <m:t>nterf+</m:t>
        </m:r>
        <m:sSub>
          <m:sSubPr>
            <m:ctrlPr>
              <w:rPr>
                <w:rFonts w:ascii="Cambria Math" w:hAnsi="Cambria Math" w:cs="Cambria"/>
              </w:rPr>
            </m:ctrlPr>
          </m:sSubPr>
          <m:e>
            <m:r>
              <m:rPr/>
              <w:rPr>
                <w:rFonts w:ascii="Cambria Math" w:hAnsi="Cambria Math" w:cs="Cambria"/>
              </w:rPr>
              <m:t>e</m:t>
            </m:r>
            <m:ctrlPr>
              <w:rPr>
                <w:rFonts w:ascii="Cambria Math" w:hAnsi="Cambria Math" w:cs="Cambria"/>
              </w:rPr>
            </m:ctrlPr>
          </m:e>
          <m:sub>
            <m:r>
              <m:rPr/>
              <w:rPr>
                <w:rFonts w:ascii="Cambria Math" w:hAnsi="Cambria Math" w:cs="Cambria"/>
              </w:rPr>
              <m:t>a</m:t>
            </m:r>
            <m:ctrlPr>
              <w:rPr>
                <w:rFonts w:ascii="Cambria Math" w:hAnsi="Cambria Math" w:cs="Cambria"/>
              </w:rPr>
            </m:ctrlPr>
          </m:sub>
        </m:sSub>
        <m:r>
          <m:rPr/>
          <w:rPr>
            <w:rFonts w:ascii="Cambria Math" w:hAnsi="Cambria Math" w:cs="Cambria"/>
          </w:rPr>
          <m:t>rtif</m:t>
        </m:r>
      </m:oMath>
      <w:r>
        <w:t>，其中</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oMath>
      <w:r>
        <w:t>为目标源，</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pa</m:t>
        </m:r>
      </m:oMath>
      <w:r>
        <w:t>t为空间/滤波失真，</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nterf</m:t>
        </m:r>
      </m:oMath>
      <w:r>
        <w:t>为其他源泄漏造成的干扰，</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rtif</m:t>
        </m:r>
      </m:oMath>
      <w:r>
        <w:t>为算法引入的伪影。基于各分量的能量比计算SDR、SIR、SAR和ISR。</w:t>
      </w:r>
    </w:p>
    <w:p w14:paraId="0CA80258">
      <w:pPr>
        <w:spacing w:before="60" w:after="60" w:line="360" w:lineRule="auto"/>
        <w:ind w:firstLine="480"/>
        <w:rPr>
          <w:rFonts w:hint="eastAsia"/>
        </w:rPr>
      </w:pPr>
      <w:r>
        <w:t>overlay_metrics.py模块实现了WOC/SOC重叠一致性指标。计算流程如图8所示：将参考信号和估计信号的非负幅度（波形绝对值或STFT幅度谱）进行L1归一化后，计算</w:t>
      </w:r>
      <m:oMath>
        <m:r>
          <m:rPr/>
          <w:rPr>
            <w:rFonts w:ascii="Cambria Math" w:hAnsi="Cambria Math"/>
          </w:rPr>
          <m:t>∑min</m:t>
        </m:r>
        <m:d>
          <m:dPr>
            <m:ctrlPr>
              <w:rPr>
                <w:rFonts w:ascii="Cambria Math" w:hAnsi="Cambria Math"/>
              </w:rPr>
            </m:ctrlPr>
          </m:dPr>
          <m:e>
            <m:r>
              <m:rPr/>
              <w:rPr>
                <w:rFonts w:ascii="Cambria Math" w:hAnsi="Cambria Math"/>
              </w:rPr>
              <m:t>Ã,Â̂</m:t>
            </m:r>
            <m:ctrlPr>
              <w:rPr>
                <w:rFonts w:ascii="Cambria Math" w:hAnsi="Cambria Math"/>
              </w:rPr>
            </m:ctrlPr>
          </m:e>
        </m:d>
        <m:r>
          <m:rPr/>
          <w:rPr>
            <w:rFonts w:ascii="Cambria Math" w:hAnsi="Cambria Math"/>
          </w:rPr>
          <m:t>/∑max</m:t>
        </m:r>
        <m:d>
          <m:dPr>
            <m:ctrlPr>
              <w:rPr>
                <w:rFonts w:ascii="Cambria Math" w:hAnsi="Cambria Math"/>
              </w:rPr>
            </m:ctrlPr>
          </m:dPr>
          <m:e>
            <m:r>
              <m:rPr/>
              <w:rPr>
                <w:rFonts w:ascii="Cambria Math" w:hAnsi="Cambria Math"/>
              </w:rPr>
              <m:t>Ã,Â̂</m:t>
            </m:r>
            <m:ctrlPr>
              <w:rPr>
                <w:rFonts w:ascii="Cambria Math" w:hAnsi="Cambria Math"/>
              </w:rPr>
            </m:ctrlPr>
          </m:e>
        </m:d>
      </m:oMath>
      <w:r>
        <w:t>，得到[0,1]区间内的重叠一致性得分。该指标基于幅度/能量表示，对相位误差不敏感，主要刻画能量分布与局部结构的一致性，与SDR/SI-SDR等全局失真指标形成互补。当需要定位特定频段问题时，可将求和范围限制在频带集合B_k上生成频带级指标SOC_k。</w:t>
      </w:r>
    </w:p>
    <w:p w14:paraId="215EECBE">
      <w:pPr>
        <w:pStyle w:val="3"/>
        <w:spacing w:before="120" w:line="360" w:lineRule="auto"/>
        <w:rPr>
          <w:rFonts w:hint="eastAsia"/>
        </w:rPr>
      </w:pPr>
      <w:r>
        <w:t>实施例五：主观评价与统计分析</w:t>
      </w:r>
    </w:p>
    <w:p w14:paraId="1F7C1D60">
      <w:pPr>
        <w:spacing w:before="60" w:after="60" w:line="360" w:lineRule="auto"/>
        <w:ind w:firstLine="480"/>
        <w:rPr>
          <w:rFonts w:hint="eastAsia"/>
        </w:rPr>
      </w:pPr>
      <w:r>
        <w:t>主观评价模块参考ITU-R BS.1534-1 MUSHRA规范设计。评分界面提供音质（Quality，衡量整体清晰度、保真度和自然度）、干扰抑制（Interference，衡量目标声部中非目标声部的残留程度）和伪影控制（Artifacts，衡量算法引入的非自然成分如金属音、抖动感和断续感）三个维度的1-5分李克特量表。所有4个声部的评分通过POST /api/scores/{task_id}端点一次性批量提交。</w:t>
      </w:r>
    </w:p>
    <w:p w14:paraId="6BA914B3">
      <w:pPr>
        <w:spacing w:before="60" w:after="60" w:line="360" w:lineRule="auto"/>
        <w:ind w:firstLine="480"/>
        <w:rPr>
          <w:rFonts w:hint="eastAsia"/>
        </w:rPr>
      </w:pPr>
      <w:r>
        <w:t>统计分析模块从零实现了三种统计方法，不依赖SciPy等外部统计库：</w:t>
      </w:r>
    </w:p>
    <w:p w14:paraId="351394A5">
      <w:pPr>
        <w:spacing w:before="60" w:after="60" w:line="360" w:lineRule="auto"/>
        <w:ind w:firstLine="480"/>
        <w:rPr>
          <w:rFonts w:hint="eastAsia"/>
        </w:rPr>
      </w:pPr>
      <w:r>
        <w:t>（1）Spearman等级相关系数：对两组数据进行排序并分配秩次，对打结（tied ranks）数据采用平均秩处理，计算秩次之间的Pearson相关系数作为Spearman ρ。</w:t>
      </w:r>
    </w:p>
    <w:p w14:paraId="0D9E55F6">
      <w:pPr>
        <w:spacing w:before="60" w:after="60" w:line="360" w:lineRule="auto"/>
        <w:ind w:firstLine="480"/>
        <w:rPr>
          <w:rFonts w:hint="eastAsia"/>
        </w:rPr>
      </w:pPr>
      <w:r>
        <w:t>（2）排列检验（Permutation Test）：通过多次随机打乱数据标签构造零分布，计算观测统计量在零分布中的位置以得到单侧p值。用于评估SOC与主观音质评分之间相关性的统计显著性。</w:t>
      </w:r>
    </w:p>
    <w:p w14:paraId="32F415E4">
      <w:pPr>
        <w:spacing w:before="60" w:after="60" w:line="360" w:lineRule="auto"/>
        <w:ind w:firstLine="480"/>
        <w:rPr>
          <w:rFonts w:hint="eastAsia"/>
        </w:rPr>
      </w:pPr>
      <w:r>
        <w:t>（3）Wilcoxon符号秩检验：对配对样本的差值进行排序并分配符号秩，通过正态近似计算z统计量和p值，在存在打结时进行方差修正以获得校正后的p值，同时计算秩双列相关系数（rank-biserial correlation）作为效应量指标。用于算法间配对差异的显著性检验。</w:t>
      </w:r>
    </w:p>
    <w:p w14:paraId="35DD3E54">
      <w:pPr>
        <w:pStyle w:val="3"/>
        <w:spacing w:before="120" w:line="360" w:lineRule="auto"/>
        <w:rPr>
          <w:rFonts w:hint="eastAsia"/>
        </w:rPr>
      </w:pPr>
      <w:r>
        <w:t>实施例六：完整评测工作流</w:t>
      </w:r>
    </w:p>
    <w:p w14:paraId="1BEBB6E8">
      <w:pPr>
        <w:spacing w:before="60" w:after="60" w:line="360" w:lineRule="auto"/>
        <w:ind w:firstLine="480"/>
        <w:rPr>
          <w:rFonts w:hint="eastAsia"/>
        </w:rPr>
      </w:pPr>
      <w:r>
        <w:t>本实施例描述使用本发明系统进行音乐源分离评测的完整工作流。参照图4的业务流程：</w:t>
      </w:r>
    </w:p>
    <w:p w14:paraId="08FEFFFD">
      <w:pPr>
        <w:spacing w:before="60" w:after="60" w:line="360" w:lineRule="auto"/>
        <w:ind w:firstLine="480"/>
        <w:rPr>
          <w:rFonts w:hint="eastAsia"/>
        </w:rPr>
      </w:pPr>
      <w:r>
        <w:t>第一步，数据准备：管理员或专家用户通过音频资源库上传评测所需的混合音频（Mixture）及对应的参考标准音轨（Gold Vocals/Drums/Bass/Other），系统自动进行音频格式标准化处理。评测数据集选用MUSDB18标准数据集，包含150首多风格音乐曲目（训练集100首、测试集50首），44.1kHz立体声格式。</w:t>
      </w:r>
    </w:p>
    <w:p w14:paraId="4FA5BEC6">
      <w:pPr>
        <w:spacing w:before="60" w:after="60" w:line="360" w:lineRule="auto"/>
        <w:ind w:firstLine="480"/>
        <w:rPr>
          <w:rFonts w:hint="eastAsia"/>
        </w:rPr>
      </w:pPr>
      <w:r>
        <w:t>第二步，分离任务执行：专家用户选择目标混合音频和分离算法（MDX23C/Demucs4HT/Band Split RoFormer/SCNet之一），系统生成唯一任务ID并通过异步队列调度执行。分离引擎加载对应算法的预训练模型权重，对输入音频进行推理，输出四个声部文件（Vocals.wav/Drums.wav/Bass.wav/Other.wav）。处理过程中实时输出进度百分比。</w:t>
      </w:r>
    </w:p>
    <w:p w14:paraId="545E3463">
      <w:pPr>
        <w:spacing w:before="60" w:after="60" w:line="360" w:lineRule="auto"/>
        <w:ind w:firstLine="480"/>
        <w:rPr>
          <w:rFonts w:hint="eastAsia"/>
        </w:rPr>
      </w:pPr>
      <w:r>
        <w:t>第三步，客观指标计算：系统自动调用指标计算模块，逐声部计算SDR、SIR、SAR、ISR、SI-SDR和WOC/SOC，将结果写入数据库并提供JSON格式的详细报告。</w:t>
      </w:r>
    </w:p>
    <w:p w14:paraId="552B5280">
      <w:pPr>
        <w:spacing w:before="60" w:after="60" w:line="360" w:lineRule="auto"/>
        <w:ind w:firstLine="480"/>
        <w:rPr>
          <w:rFonts w:hint="eastAsia"/>
        </w:rPr>
      </w:pPr>
      <w:r>
        <w:t>第四步，主观评价：评审专家在双盲条件下对分离结果进行听音评价，在三个维度上为每个声部打分。平台同时提供残差试听功能（r = mixture - estimate）和波形/频谱可视化对比工具辅助判断。</w:t>
      </w:r>
    </w:p>
    <w:p w14:paraId="7DFCE529">
      <w:pPr>
        <w:spacing w:before="60" w:after="60" w:line="360" w:lineRule="auto"/>
        <w:ind w:firstLine="480"/>
        <w:rPr>
          <w:rFonts w:hint="eastAsia"/>
        </w:rPr>
      </w:pPr>
      <w:r>
        <w:t>第五步，综合分析：通过平台的统计对比页面查看各算法的客观指标汇总（柱状图、雷达图）、主观评分统计、算法间Wilcoxon显著性检验结果、以及SOC-音质Spearman相关分析和排列检验结果。所有数据可通过CSV导出和论文数据包（ZIP）功能完整导出。</w:t>
      </w:r>
    </w:p>
    <w:p w14:paraId="41886943">
      <w:pPr>
        <w:spacing w:before="60" w:after="60" w:line="360" w:lineRule="auto"/>
        <w:ind w:firstLine="480"/>
        <w:rPr>
          <w:rFonts w:hint="eastAsia"/>
        </w:rPr>
      </w:pPr>
      <w: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sectPr>
      <w:headerReference r:id="rId3" w:type="default"/>
      <w:footerReference r:id="rId4" w:type="default"/>
      <w:pgSz w:w="11906" w:h="16838"/>
      <w:pgMar w:top="1440" w:right="850" w:bottom="85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63B01">
    <w:pPr>
      <w:jc w:val="center"/>
      <w:rPr>
        <w:rFonts w:hint="eastAsia"/>
      </w:rPr>
    </w:pPr>
    <w:r>
      <w:rPr>
        <w:sz w:val="18"/>
        <w:szCs w:val="18"/>
      </w:rPr>
      <w:t xml:space="preserve">第 </w:t>
    </w:r>
    <w:r>
      <w:rPr>
        <w:sz w:val="18"/>
        <w:szCs w:val="18"/>
      </w:rPr>
      <w:fldChar w:fldCharType="begin"/>
    </w:r>
    <w:r>
      <w:rPr>
        <w:sz w:val="18"/>
        <w:szCs w:val="18"/>
      </w:rPr>
      <w:instrText xml:space="preserve">PAGE</w:instrText>
    </w:r>
    <w:r>
      <w:rPr>
        <w:rFonts w:hint="eastAsia"/>
        <w:sz w:val="18"/>
        <w:szCs w:val="18"/>
      </w:rPr>
      <w:fldChar w:fldCharType="separate"/>
    </w:r>
    <w:r>
      <w:rPr>
        <w:rFonts w:hint="eastAsia"/>
        <w:sz w:val="18"/>
        <w:szCs w:val="18"/>
      </w:rPr>
      <w:t>1</w:t>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A9721">
    <w:pPr>
      <w:jc w:val="center"/>
      <w:rPr>
        <w:rFonts w:hint="eastAsia"/>
      </w:rPr>
    </w:pPr>
    <w:r>
      <w:rPr>
        <w:color w:val="888888"/>
        <w:sz w:val="18"/>
        <w:szCs w:val="18"/>
      </w:rPr>
      <w:t>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SOReumeCategoryDocument" w:val="0"/>
  </w:docVars>
  <w:rsids>
    <w:rsidRoot w:val="00CC19E7"/>
    <w:rsid w:val="0043021D"/>
    <w:rsid w:val="008121B6"/>
    <w:rsid w:val="00CC19E7"/>
    <w:rsid w:val="00CC7B8B"/>
    <w:rsid w:val="12E95EB5"/>
    <w:rsid w:val="143D31DF"/>
    <w:rsid w:val="47080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lang w:val="en-US" w:eastAsia="zh-CN" w:bidi="ar-SA"/>
    </w:rPr>
  </w:style>
  <w:style w:type="paragraph" w:styleId="2">
    <w:name w:val="heading 1"/>
    <w:next w:val="1"/>
    <w:qFormat/>
    <w:uiPriority w:val="0"/>
    <w:pPr>
      <w:spacing w:before="240" w:after="120"/>
      <w:outlineLvl w:val="0"/>
    </w:pPr>
    <w:rPr>
      <w:rFonts w:ascii="黑体" w:hAnsi="黑体" w:eastAsia="黑体" w:cs="黑体"/>
      <w:b/>
      <w:bCs/>
      <w:sz w:val="32"/>
      <w:szCs w:val="32"/>
      <w:lang w:val="en-US" w:eastAsia="zh-CN" w:bidi="ar-SA"/>
    </w:rPr>
  </w:style>
  <w:style w:type="paragraph" w:styleId="3">
    <w:name w:val="heading 2"/>
    <w:next w:val="4"/>
    <w:qFormat/>
    <w:uiPriority w:val="0"/>
    <w:pPr>
      <w:spacing w:before="180" w:after="120"/>
      <w:outlineLvl w:val="1"/>
    </w:pPr>
    <w:rPr>
      <w:rFonts w:ascii="黑体" w:hAnsi="黑体" w:eastAsia="黑体" w:cs="黑体"/>
      <w:b/>
      <w:bCs/>
      <w:sz w:val="28"/>
      <w:szCs w:val="28"/>
      <w:lang w:val="en-US" w:eastAsia="zh-CN" w:bidi="ar-SA"/>
    </w:rPr>
  </w:style>
  <w:style w:type="paragraph" w:styleId="5">
    <w:name w:val="heading 3"/>
    <w:next w:val="4"/>
    <w:qFormat/>
    <w:uiPriority w:val="0"/>
    <w:pPr>
      <w:spacing w:before="120" w:after="60"/>
      <w:outlineLvl w:val="2"/>
    </w:pPr>
    <w:rPr>
      <w:rFonts w:ascii="黑体" w:hAnsi="黑体" w:eastAsia="黑体" w:cs="黑体"/>
      <w:b/>
      <w:bCs/>
      <w:sz w:val="26"/>
      <w:szCs w:val="26"/>
      <w:lang w:val="en-US" w:eastAsia="zh-CN" w:bidi="ar-SA"/>
    </w:rPr>
  </w:style>
  <w:style w:type="paragraph" w:styleId="6">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7">
    <w:name w:val="heading 5"/>
    <w:next w:val="1"/>
    <w:qFormat/>
    <w:uiPriority w:val="0"/>
    <w:pPr>
      <w:outlineLvl w:val="4"/>
    </w:pPr>
    <w:rPr>
      <w:rFonts w:ascii="宋体" w:hAnsi="宋体" w:eastAsia="宋体" w:cs="宋体"/>
      <w:color w:val="2E74B5"/>
      <w:sz w:val="24"/>
      <w:szCs w:val="24"/>
      <w:lang w:val="en-US" w:eastAsia="zh-CN" w:bidi="ar-SA"/>
    </w:rPr>
  </w:style>
  <w:style w:type="paragraph" w:styleId="8">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9">
    <w:name w:val="endnote text"/>
    <w:link w:val="19"/>
    <w:semiHidden/>
    <w:unhideWhenUsed/>
    <w:qFormat/>
    <w:uiPriority w:val="99"/>
    <w:rPr>
      <w:rFonts w:ascii="宋体" w:hAnsi="宋体" w:eastAsia="宋体" w:cs="宋体"/>
      <w:lang w:val="en-US" w:eastAsia="zh-CN" w:bidi="ar-SA"/>
    </w:rPr>
  </w:style>
  <w:style w:type="paragraph" w:styleId="10">
    <w:name w:val="footnote text"/>
    <w:link w:val="18"/>
    <w:semiHidden/>
    <w:unhideWhenUsed/>
    <w:qFormat/>
    <w:uiPriority w:val="99"/>
    <w:rPr>
      <w:rFonts w:ascii="宋体" w:hAnsi="宋体" w:eastAsia="宋体" w:cs="宋体"/>
      <w:lang w:val="en-US" w:eastAsia="zh-CN" w:bidi="ar-SA"/>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脚注文本 字符"/>
    <w:link w:val="10"/>
    <w:semiHidden/>
    <w:unhideWhenUsed/>
    <w:qFormat/>
    <w:uiPriority w:val="99"/>
    <w:rPr>
      <w:sz w:val="20"/>
      <w:szCs w:val="20"/>
    </w:rPr>
  </w:style>
  <w:style w:type="character" w:customStyle="1" w:styleId="19">
    <w:name w:val="尾注文本 字符"/>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1834</Words>
  <Characters>2435</Characters>
  <Lines>137</Lines>
  <Paragraphs>83</Paragraphs>
  <TotalTime>24</TotalTime>
  <ScaleCrop>false</ScaleCrop>
  <LinksUpToDate>false</LinksUpToDate>
  <CharactersWithSpaces>2461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2026-07-15T07:35:00Z</dcterms:created>
  <dc:creator>Un-named</dc:creator>
  <cp:lastModifiedBy>WPS_1627136482</cp:lastModifiedBy>
  <dcterms:modified xsi:type="dcterms:W3CDTF">2026-07-15T11:04:00Z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eyJoZGlkIjoiMGQ4MjIyZmY4N2ZhNTZkZWRkNzAyZTQ0ZTY0ZWU0NTQiLCJ1c2VySWQiOiIxMjM3NDY0NjYzIn0=</vt:lpwstr>
  </property>
  <property fmtid="{D5CDD505-2E9C-101B-9397-08002B2CF9AE}" pid="3" name="KSOProductBuildVer">
    <vt:lpwstr>2052-12.1.0.26375</vt:lpwstr>
  </property>
  <property fmtid="{D5CDD505-2E9C-101B-9397-08002B2CF9AE}" pid="4" name="ICV">
    <vt:lpwstr>887A1B59F4E149BEB2D8F55D5CF2D341_12</vt:lpwstr>
  </property>
</Properties>
</file>