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textAlignment w:val="top"/>
        <w:rPr>
          <w:rStyle w:val="4"/>
          <w:rFonts w:ascii="宋体" w:hAnsi="宋体" w:eastAsia="宋体" w:cs="宋体"/>
          <w:kern w:val="0"/>
          <w:sz w:val="22"/>
          <w:szCs w:val="22"/>
          <w:lang w:val="en-US" w:eastAsia="zh-CN" w:bidi="ar"/>
        </w:rPr>
      </w:pPr>
      <w:r>
        <w:rPr>
          <w:rStyle w:val="4"/>
          <w:rFonts w:hint="eastAsia" w:ascii="宋体" w:hAnsi="宋体" w:eastAsia="宋体" w:cs="宋体"/>
          <w:kern w:val="0"/>
          <w:sz w:val="22"/>
          <w:szCs w:val="22"/>
          <w:lang w:val="en-US" w:eastAsia="zh-CN" w:bidi="ar"/>
        </w:rPr>
        <w:t>题目1：</w:t>
      </w:r>
    </w:p>
    <w:tbl>
      <w:tblPr>
        <w:tblStyle w:val="6"/>
        <w:tblW w:w="706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843"/>
        <w:gridCol w:w="522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blCellSpacing w:w="0" w:type="dxa"/>
        </w:trPr>
        <w:tc>
          <w:tcPr>
            <w:tcW w:w="7064" w:type="dxa"/>
            <w:gridSpan w:val="2"/>
            <w:shd w:val="clear" w:color="auto" w:fill="auto"/>
            <w:vAlign w:val="top"/>
          </w:tcPr>
          <w:p>
            <w:pPr>
              <w:keepNext w:val="0"/>
              <w:keepLines w:val="0"/>
              <w:widowControl/>
              <w:suppressLineNumbers w:val="0"/>
              <w:jc w:val="left"/>
              <w:textAlignment w:val="top"/>
              <w:rPr>
                <w:sz w:val="24"/>
                <w:szCs w:val="24"/>
              </w:rPr>
            </w:pPr>
            <w:r>
              <w:rPr>
                <w:rStyle w:val="4"/>
                <w:rFonts w:ascii="宋体" w:hAnsi="宋体" w:eastAsia="宋体" w:cs="宋体"/>
                <w:kern w:val="0"/>
                <w:sz w:val="24"/>
                <w:szCs w:val="24"/>
                <w:lang w:val="en-US" w:eastAsia="zh-CN" w:bidi="ar"/>
              </w:rPr>
              <w:t>数字分配策略</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843" w:type="dxa"/>
            <w:shd w:val="clear" w:color="auto" w:fill="auto"/>
            <w:vAlign w:val="top"/>
          </w:tcPr>
          <w:tbl>
            <w:tblPr>
              <w:tblStyle w:val="6"/>
              <w:tblW w:w="1812" w:type="dxa"/>
              <w:tblCellSpacing w:w="0" w:type="dxa"/>
              <w:tblInd w:w="0" w:type="dxa"/>
              <w:shd w:val="clear" w:color="auto" w:fill="auto"/>
              <w:tblLayout w:type="fixed"/>
              <w:tblCellMar>
                <w:top w:w="0" w:type="dxa"/>
                <w:left w:w="0" w:type="dxa"/>
                <w:bottom w:w="0" w:type="dxa"/>
                <w:right w:w="0" w:type="dxa"/>
              </w:tblCellMar>
            </w:tblPr>
            <w:tblGrid>
              <w:gridCol w:w="1812"/>
            </w:tblGrid>
            <w:tr>
              <w:tblPrEx>
                <w:shd w:val="clear" w:color="auto" w:fill="auto"/>
                <w:tblLayout w:type="fixed"/>
                <w:tblCellMar>
                  <w:top w:w="0" w:type="dxa"/>
                  <w:left w:w="0" w:type="dxa"/>
                  <w:bottom w:w="0" w:type="dxa"/>
                  <w:right w:w="0" w:type="dxa"/>
                </w:tblCellMar>
              </w:tblPrEx>
              <w:trPr>
                <w:trHeight w:val="8400" w:hRule="atLeast"/>
                <w:tblCellSpacing w:w="0" w:type="dxa"/>
              </w:trPr>
              <w:tc>
                <w:tcPr>
                  <w:tcW w:w="1812"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 </w:t>
                  </w:r>
                </w:p>
              </w:tc>
            </w:tr>
            <w:tr>
              <w:tblPrEx>
                <w:shd w:val="clear" w:color="auto" w:fill="auto"/>
                <w:tblLayout w:type="fixed"/>
                <w:tblCellMar>
                  <w:top w:w="0" w:type="dxa"/>
                  <w:left w:w="0" w:type="dxa"/>
                  <w:bottom w:w="0" w:type="dxa"/>
                  <w:right w:w="0" w:type="dxa"/>
                </w:tblCellMar>
              </w:tblPrEx>
              <w:trPr>
                <w:trHeight w:val="8400" w:hRule="atLeast"/>
                <w:tblCellSpacing w:w="0" w:type="dxa"/>
              </w:trPr>
              <w:tc>
                <w:tcPr>
                  <w:tcW w:w="1812"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赛题简介：介绍整个赛题的思路和整体要求</w:t>
                  </w:r>
                </w:p>
              </w:tc>
            </w:tr>
          </w:tbl>
          <w:p>
            <w:pPr>
              <w:textAlignment w:val="top"/>
              <w:rPr>
                <w:sz w:val="24"/>
                <w:szCs w:val="24"/>
              </w:rPr>
            </w:pPr>
          </w:p>
        </w:tc>
        <w:tc>
          <w:tcPr>
            <w:tcW w:w="5221"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最优数字分配策略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比赛题目条件：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假设有2500个数据存储单元，形成为50*50的正方形矩阵。每个数据存储单元允许存储2~5个整数，整数范围为1~30，每个整数使用次数不限。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50*50数据存储单元如下表形式：</w:t>
            </w:r>
          </w:p>
          <w:tbl>
            <w:tblPr>
              <w:tblStyle w:val="6"/>
              <w:tblW w:w="2112" w:type="dxa"/>
              <w:tblCellSpacing w:w="0" w:type="dxa"/>
              <w:tblInd w:w="0" w:type="dxa"/>
              <w:shd w:val="clear" w:color="auto" w:fill="auto"/>
              <w:tblLayout w:type="fixed"/>
              <w:tblCellMar>
                <w:top w:w="0" w:type="dxa"/>
                <w:left w:w="0" w:type="dxa"/>
                <w:bottom w:w="0" w:type="dxa"/>
                <w:right w:w="0" w:type="dxa"/>
              </w:tblCellMar>
            </w:tblPr>
            <w:tblGrid>
              <w:gridCol w:w="444"/>
              <w:gridCol w:w="444"/>
              <w:gridCol w:w="444"/>
              <w:gridCol w:w="444"/>
              <w:gridCol w:w="336"/>
            </w:tblGrid>
            <w:tr>
              <w:tblPrEx>
                <w:shd w:val="clear" w:color="auto" w:fill="auto"/>
                <w:tblLayout w:type="fixed"/>
                <w:tblCellMar>
                  <w:top w:w="0" w:type="dxa"/>
                  <w:left w:w="0" w:type="dxa"/>
                  <w:bottom w:w="0" w:type="dxa"/>
                  <w:right w:w="0" w:type="dxa"/>
                </w:tblCellMar>
              </w:tblPrEx>
              <w:trPr>
                <w:trHeight w:val="336" w:hRule="atLeast"/>
                <w:tblCellSpacing w:w="0" w:type="dxa"/>
              </w:trPr>
              <w:tc>
                <w:tcPr>
                  <w:tcW w:w="44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1-1</w:t>
                  </w:r>
                </w:p>
              </w:tc>
              <w:tc>
                <w:tcPr>
                  <w:tcW w:w="44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1-2</w:t>
                  </w:r>
                </w:p>
              </w:tc>
              <w:tc>
                <w:tcPr>
                  <w:tcW w:w="44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1-3</w:t>
                  </w:r>
                </w:p>
              </w:tc>
              <w:tc>
                <w:tcPr>
                  <w:tcW w:w="44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1-4</w:t>
                  </w:r>
                </w:p>
              </w:tc>
              <w:tc>
                <w:tcPr>
                  <w:tcW w:w="336"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w:t>
                  </w:r>
                </w:p>
              </w:tc>
            </w:tr>
            <w:tr>
              <w:tblPrEx>
                <w:tblLayout w:type="fixed"/>
                <w:tblCellMar>
                  <w:top w:w="0" w:type="dxa"/>
                  <w:left w:w="0" w:type="dxa"/>
                  <w:bottom w:w="0" w:type="dxa"/>
                  <w:right w:w="0" w:type="dxa"/>
                </w:tblCellMar>
              </w:tblPrEx>
              <w:trPr>
                <w:trHeight w:val="301" w:hRule="atLeast"/>
                <w:tblCellSpacing w:w="0" w:type="dxa"/>
              </w:trPr>
              <w:tc>
                <w:tcPr>
                  <w:tcW w:w="44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2-1</w:t>
                  </w:r>
                </w:p>
              </w:tc>
              <w:tc>
                <w:tcPr>
                  <w:tcW w:w="44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2-2</w:t>
                  </w:r>
                </w:p>
              </w:tc>
              <w:tc>
                <w:tcPr>
                  <w:tcW w:w="44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2-3</w:t>
                  </w:r>
                </w:p>
              </w:tc>
              <w:tc>
                <w:tcPr>
                  <w:tcW w:w="44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2-4</w:t>
                  </w:r>
                </w:p>
              </w:tc>
              <w:tc>
                <w:tcPr>
                  <w:tcW w:w="336"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w:t>
                  </w:r>
                </w:p>
              </w:tc>
            </w:tr>
            <w:tr>
              <w:tblPrEx>
                <w:shd w:val="clear" w:color="auto" w:fill="auto"/>
                <w:tblLayout w:type="fixed"/>
                <w:tblCellMar>
                  <w:top w:w="0" w:type="dxa"/>
                  <w:left w:w="0" w:type="dxa"/>
                  <w:bottom w:w="0" w:type="dxa"/>
                  <w:right w:w="0" w:type="dxa"/>
                </w:tblCellMar>
              </w:tblPrEx>
              <w:trPr>
                <w:trHeight w:val="313" w:hRule="atLeast"/>
                <w:tblCellSpacing w:w="0" w:type="dxa"/>
              </w:trPr>
              <w:tc>
                <w:tcPr>
                  <w:tcW w:w="44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3-1</w:t>
                  </w:r>
                </w:p>
              </w:tc>
              <w:tc>
                <w:tcPr>
                  <w:tcW w:w="44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3-2</w:t>
                  </w:r>
                </w:p>
              </w:tc>
              <w:tc>
                <w:tcPr>
                  <w:tcW w:w="44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3-3</w:t>
                  </w:r>
                </w:p>
              </w:tc>
              <w:tc>
                <w:tcPr>
                  <w:tcW w:w="44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3-4</w:t>
                  </w:r>
                </w:p>
              </w:tc>
              <w:tc>
                <w:tcPr>
                  <w:tcW w:w="336"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w:t>
                  </w:r>
                </w:p>
              </w:tc>
            </w:tr>
            <w:tr>
              <w:tblPrEx>
                <w:tblLayout w:type="fixed"/>
                <w:tblCellMar>
                  <w:top w:w="0" w:type="dxa"/>
                  <w:left w:w="0" w:type="dxa"/>
                  <w:bottom w:w="0" w:type="dxa"/>
                  <w:right w:w="0" w:type="dxa"/>
                </w:tblCellMar>
              </w:tblPrEx>
              <w:trPr>
                <w:trHeight w:val="325" w:hRule="atLeast"/>
                <w:tblCellSpacing w:w="0" w:type="dxa"/>
              </w:trPr>
              <w:tc>
                <w:tcPr>
                  <w:tcW w:w="44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4-1</w:t>
                  </w:r>
                </w:p>
              </w:tc>
              <w:tc>
                <w:tcPr>
                  <w:tcW w:w="44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4-2</w:t>
                  </w:r>
                </w:p>
              </w:tc>
              <w:tc>
                <w:tcPr>
                  <w:tcW w:w="44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4-3</w:t>
                  </w:r>
                </w:p>
              </w:tc>
              <w:tc>
                <w:tcPr>
                  <w:tcW w:w="44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4-4</w:t>
                  </w:r>
                </w:p>
              </w:tc>
              <w:tc>
                <w:tcPr>
                  <w:tcW w:w="336"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w:t>
                  </w:r>
                </w:p>
              </w:tc>
            </w:tr>
            <w:tr>
              <w:tblPrEx>
                <w:shd w:val="clear" w:color="auto" w:fill="auto"/>
                <w:tblLayout w:type="fixed"/>
                <w:tblCellMar>
                  <w:top w:w="0" w:type="dxa"/>
                  <w:left w:w="0" w:type="dxa"/>
                  <w:bottom w:w="0" w:type="dxa"/>
                  <w:right w:w="0" w:type="dxa"/>
                </w:tblCellMar>
              </w:tblPrEx>
              <w:trPr>
                <w:trHeight w:val="313" w:hRule="atLeast"/>
                <w:tblCellSpacing w:w="0" w:type="dxa"/>
              </w:trPr>
              <w:tc>
                <w:tcPr>
                  <w:tcW w:w="44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w:t>
                  </w:r>
                </w:p>
              </w:tc>
              <w:tc>
                <w:tcPr>
                  <w:tcW w:w="44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w:t>
                  </w:r>
                </w:p>
              </w:tc>
              <w:tc>
                <w:tcPr>
                  <w:tcW w:w="44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w:t>
                  </w:r>
                </w:p>
              </w:tc>
              <w:tc>
                <w:tcPr>
                  <w:tcW w:w="44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w:t>
                  </w:r>
                </w:p>
              </w:tc>
              <w:tc>
                <w:tcPr>
                  <w:tcW w:w="336"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w:t>
                  </w:r>
                </w:p>
              </w:tc>
            </w:tr>
          </w:tbl>
          <w:p>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其中1-1、1-2等表示存储单元在矩阵中的行列位置，也可以将其作为存储单元的名称。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比赛题目要求：</w:t>
            </w:r>
          </w:p>
          <w:p>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将1~30的整数按各存储单元的整数个数要求，分配到各数据存储单元中。未按要求分配整数，比赛无成绩，直接出局；</w:t>
            </w:r>
          </w:p>
          <w:p>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每个存储单元内的整数不能相同且不能相邻。如：1和2、2和2、2和3不能出现在同一个存储单元中。如果违反规则，按下述罚则处理：针对每个存储单元都统计一遍，出现一次相同，结果累加100违约分；出现一次相邻，结果累加50违约分；</w:t>
            </w:r>
          </w:p>
          <w:p>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每个存储单元与相邻的存储单元内的整数不能相同且不能相邻。如：第2-2存储单元内的整数与第1-1、1-2、1-3、2-1、2-3、3-1、3-2、3-3存储单元内的整数不能相同且不能相邻。如果违反规则，按下述罚则处理：针对每个存储单元都统计一遍，出现一次相同，结果累加20违约分；出现一次相邻，结果累加10违约分；</w:t>
            </w:r>
          </w:p>
          <w:p>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每个存储单元与相邻存储单元的相邻存储单元内的整数不能相同。如：第2-2存储单元内的整数与第1-4、2-4、3-4、4-1、4-2、4-3、4-4存储单元内的整数不能相同。如果违反规则，按下述罚则处理：针对每个存储单元都统计一遍，出现一次相同，结果累加1违约分；</w:t>
            </w:r>
          </w:p>
          <w:p>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各比赛小组自己设计分配算法，在规定时间内（比如1小时）运算分配结果，哪个小组最后的违约分值最低，哪个小组获胜。</w:t>
            </w:r>
          </w:p>
          <w:p>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违约分计算举例：</w:t>
            </w:r>
          </w:p>
          <w:tbl>
            <w:tblPr>
              <w:tblStyle w:val="6"/>
              <w:tblW w:w="2580" w:type="dxa"/>
              <w:tblCellSpacing w:w="0" w:type="dxa"/>
              <w:tblInd w:w="0" w:type="dxa"/>
              <w:shd w:val="clear" w:color="auto" w:fill="auto"/>
              <w:tblLayout w:type="fixed"/>
              <w:tblCellMar>
                <w:top w:w="0" w:type="dxa"/>
                <w:left w:w="0" w:type="dxa"/>
                <w:bottom w:w="0" w:type="dxa"/>
                <w:right w:w="0" w:type="dxa"/>
              </w:tblCellMar>
            </w:tblPr>
            <w:tblGrid>
              <w:gridCol w:w="672"/>
              <w:gridCol w:w="900"/>
              <w:gridCol w:w="564"/>
              <w:gridCol w:w="444"/>
            </w:tblGrid>
            <w:tr>
              <w:tblPrEx>
                <w:tblLayout w:type="fixed"/>
                <w:tblCellMar>
                  <w:top w:w="0" w:type="dxa"/>
                  <w:left w:w="0" w:type="dxa"/>
                  <w:bottom w:w="0" w:type="dxa"/>
                  <w:right w:w="0" w:type="dxa"/>
                </w:tblCellMar>
              </w:tblPrEx>
              <w:trPr>
                <w:trHeight w:val="216" w:hRule="atLeast"/>
                <w:tblCellSpacing w:w="0" w:type="dxa"/>
              </w:trPr>
              <w:tc>
                <w:tcPr>
                  <w:tcW w:w="672"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行\列</w:t>
                  </w:r>
                </w:p>
              </w:tc>
              <w:tc>
                <w:tcPr>
                  <w:tcW w:w="900"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列1</w:t>
                  </w:r>
                </w:p>
              </w:tc>
              <w:tc>
                <w:tcPr>
                  <w:tcW w:w="56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列2</w:t>
                  </w:r>
                </w:p>
              </w:tc>
              <w:tc>
                <w:tcPr>
                  <w:tcW w:w="44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w:t>
                  </w:r>
                </w:p>
              </w:tc>
            </w:tr>
            <w:tr>
              <w:tblPrEx>
                <w:tblLayout w:type="fixed"/>
                <w:tblCellMar>
                  <w:top w:w="0" w:type="dxa"/>
                  <w:left w:w="0" w:type="dxa"/>
                  <w:bottom w:w="0" w:type="dxa"/>
                  <w:right w:w="0" w:type="dxa"/>
                </w:tblCellMar>
              </w:tblPrEx>
              <w:trPr>
                <w:trHeight w:val="216" w:hRule="atLeast"/>
                <w:tblCellSpacing w:w="0" w:type="dxa"/>
              </w:trPr>
              <w:tc>
                <w:tcPr>
                  <w:tcW w:w="672"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行1</w:t>
                  </w:r>
                </w:p>
              </w:tc>
              <w:tc>
                <w:tcPr>
                  <w:tcW w:w="900"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1,3,5</w:t>
                  </w:r>
                </w:p>
              </w:tc>
              <w:tc>
                <w:tcPr>
                  <w:tcW w:w="56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7,9</w:t>
                  </w:r>
                </w:p>
              </w:tc>
              <w:tc>
                <w:tcPr>
                  <w:tcW w:w="44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w:t>
                  </w:r>
                </w:p>
              </w:tc>
            </w:tr>
            <w:tr>
              <w:tblPrEx>
                <w:tblLayout w:type="fixed"/>
                <w:tblCellMar>
                  <w:top w:w="0" w:type="dxa"/>
                  <w:left w:w="0" w:type="dxa"/>
                  <w:bottom w:w="0" w:type="dxa"/>
                  <w:right w:w="0" w:type="dxa"/>
                </w:tblCellMar>
              </w:tblPrEx>
              <w:trPr>
                <w:trHeight w:val="216" w:hRule="atLeast"/>
                <w:tblCellSpacing w:w="0" w:type="dxa"/>
              </w:trPr>
              <w:tc>
                <w:tcPr>
                  <w:tcW w:w="672"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行2</w:t>
                  </w:r>
                </w:p>
              </w:tc>
              <w:tc>
                <w:tcPr>
                  <w:tcW w:w="900"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11,12,13</w:t>
                  </w:r>
                </w:p>
              </w:tc>
              <w:tc>
                <w:tcPr>
                  <w:tcW w:w="56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1,4</w:t>
                  </w:r>
                </w:p>
              </w:tc>
              <w:tc>
                <w:tcPr>
                  <w:tcW w:w="44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w:t>
                  </w:r>
                </w:p>
              </w:tc>
            </w:tr>
            <w:tr>
              <w:tblPrEx>
                <w:tblLayout w:type="fixed"/>
                <w:tblCellMar>
                  <w:top w:w="0" w:type="dxa"/>
                  <w:left w:w="0" w:type="dxa"/>
                  <w:bottom w:w="0" w:type="dxa"/>
                  <w:right w:w="0" w:type="dxa"/>
                </w:tblCellMar>
              </w:tblPrEx>
              <w:trPr>
                <w:trHeight w:val="216" w:hRule="atLeast"/>
                <w:tblCellSpacing w:w="0" w:type="dxa"/>
              </w:trPr>
              <w:tc>
                <w:tcPr>
                  <w:tcW w:w="672"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w:t>
                  </w:r>
                </w:p>
              </w:tc>
              <w:tc>
                <w:tcPr>
                  <w:tcW w:w="900"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w:t>
                  </w:r>
                </w:p>
              </w:tc>
              <w:tc>
                <w:tcPr>
                  <w:tcW w:w="56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w:t>
                  </w:r>
                </w:p>
              </w:tc>
              <w:tc>
                <w:tcPr>
                  <w:tcW w:w="44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w:t>
                  </w:r>
                </w:p>
              </w:tc>
            </w:tr>
          </w:tbl>
          <w:p>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上表所示为部分存储单元内整数分配结果，违约值计算方法如下：</w:t>
            </w:r>
          </w:p>
          <w:tbl>
            <w:tblPr>
              <w:tblStyle w:val="6"/>
              <w:tblW w:w="3672" w:type="dxa"/>
              <w:tblCellSpacing w:w="0" w:type="dxa"/>
              <w:tblInd w:w="0" w:type="dxa"/>
              <w:shd w:val="clear" w:color="auto" w:fill="auto"/>
              <w:tblLayout w:type="fixed"/>
              <w:tblCellMar>
                <w:top w:w="0" w:type="dxa"/>
                <w:left w:w="0" w:type="dxa"/>
                <w:bottom w:w="0" w:type="dxa"/>
                <w:right w:w="0" w:type="dxa"/>
              </w:tblCellMar>
            </w:tblPr>
            <w:tblGrid>
              <w:gridCol w:w="624"/>
              <w:gridCol w:w="624"/>
              <w:gridCol w:w="828"/>
              <w:gridCol w:w="912"/>
              <w:gridCol w:w="684"/>
            </w:tblGrid>
            <w:tr>
              <w:tblPrEx>
                <w:shd w:val="clear" w:color="auto" w:fill="auto"/>
                <w:tblLayout w:type="fixed"/>
                <w:tblCellMar>
                  <w:top w:w="0" w:type="dxa"/>
                  <w:left w:w="0" w:type="dxa"/>
                  <w:bottom w:w="0" w:type="dxa"/>
                  <w:right w:w="0" w:type="dxa"/>
                </w:tblCellMar>
              </w:tblPrEx>
              <w:trPr>
                <w:trHeight w:val="625" w:hRule="atLeast"/>
                <w:tblCellSpacing w:w="0" w:type="dxa"/>
              </w:trPr>
              <w:tc>
                <w:tcPr>
                  <w:tcW w:w="62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当前存储单元标识</w:t>
                  </w:r>
                </w:p>
              </w:tc>
              <w:tc>
                <w:tcPr>
                  <w:tcW w:w="62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冲突存储单元标识</w:t>
                  </w:r>
                </w:p>
              </w:tc>
              <w:tc>
                <w:tcPr>
                  <w:tcW w:w="828"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当前存储单元违规整数</w:t>
                  </w:r>
                </w:p>
              </w:tc>
              <w:tc>
                <w:tcPr>
                  <w:tcW w:w="912"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冲突存储单元违规整数</w:t>
                  </w:r>
                </w:p>
              </w:tc>
              <w:tc>
                <w:tcPr>
                  <w:tcW w:w="68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违约分数</w:t>
                  </w:r>
                </w:p>
              </w:tc>
            </w:tr>
            <w:tr>
              <w:tblPrEx>
                <w:tblLayout w:type="fixed"/>
                <w:tblCellMar>
                  <w:top w:w="0" w:type="dxa"/>
                  <w:left w:w="0" w:type="dxa"/>
                  <w:bottom w:w="0" w:type="dxa"/>
                  <w:right w:w="0" w:type="dxa"/>
                </w:tblCellMar>
              </w:tblPrEx>
              <w:trPr>
                <w:trHeight w:val="216" w:hRule="atLeast"/>
                <w:tblCellSpacing w:w="0" w:type="dxa"/>
              </w:trPr>
              <w:tc>
                <w:tcPr>
                  <w:tcW w:w="62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1-1</w:t>
                  </w:r>
                </w:p>
              </w:tc>
              <w:tc>
                <w:tcPr>
                  <w:tcW w:w="62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2-2</w:t>
                  </w:r>
                </w:p>
              </w:tc>
              <w:tc>
                <w:tcPr>
                  <w:tcW w:w="828"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1</w:t>
                  </w:r>
                </w:p>
              </w:tc>
              <w:tc>
                <w:tcPr>
                  <w:tcW w:w="912"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1</w:t>
                  </w:r>
                </w:p>
              </w:tc>
              <w:tc>
                <w:tcPr>
                  <w:tcW w:w="68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20</w:t>
                  </w:r>
                </w:p>
              </w:tc>
            </w:tr>
            <w:tr>
              <w:tblPrEx>
                <w:tblLayout w:type="fixed"/>
                <w:tblCellMar>
                  <w:top w:w="0" w:type="dxa"/>
                  <w:left w:w="0" w:type="dxa"/>
                  <w:bottom w:w="0" w:type="dxa"/>
                  <w:right w:w="0" w:type="dxa"/>
                </w:tblCellMar>
              </w:tblPrEx>
              <w:trPr>
                <w:trHeight w:val="216" w:hRule="atLeast"/>
                <w:tblCellSpacing w:w="0" w:type="dxa"/>
              </w:trPr>
              <w:tc>
                <w:tcPr>
                  <w:tcW w:w="62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1-1</w:t>
                  </w:r>
                </w:p>
              </w:tc>
              <w:tc>
                <w:tcPr>
                  <w:tcW w:w="62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2-2</w:t>
                  </w:r>
                </w:p>
              </w:tc>
              <w:tc>
                <w:tcPr>
                  <w:tcW w:w="828"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3</w:t>
                  </w:r>
                </w:p>
              </w:tc>
              <w:tc>
                <w:tcPr>
                  <w:tcW w:w="912"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4</w:t>
                  </w:r>
                </w:p>
              </w:tc>
              <w:tc>
                <w:tcPr>
                  <w:tcW w:w="68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10</w:t>
                  </w:r>
                </w:p>
              </w:tc>
            </w:tr>
            <w:tr>
              <w:tblPrEx>
                <w:tblLayout w:type="fixed"/>
                <w:tblCellMar>
                  <w:top w:w="0" w:type="dxa"/>
                  <w:left w:w="0" w:type="dxa"/>
                  <w:bottom w:w="0" w:type="dxa"/>
                  <w:right w:w="0" w:type="dxa"/>
                </w:tblCellMar>
              </w:tblPrEx>
              <w:trPr>
                <w:trHeight w:val="216" w:hRule="atLeast"/>
                <w:tblCellSpacing w:w="0" w:type="dxa"/>
              </w:trPr>
              <w:tc>
                <w:tcPr>
                  <w:tcW w:w="62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1-1</w:t>
                  </w:r>
                </w:p>
              </w:tc>
              <w:tc>
                <w:tcPr>
                  <w:tcW w:w="62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2-2</w:t>
                  </w:r>
                </w:p>
              </w:tc>
              <w:tc>
                <w:tcPr>
                  <w:tcW w:w="828"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5</w:t>
                  </w:r>
                </w:p>
              </w:tc>
              <w:tc>
                <w:tcPr>
                  <w:tcW w:w="912"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4</w:t>
                  </w:r>
                </w:p>
              </w:tc>
              <w:tc>
                <w:tcPr>
                  <w:tcW w:w="68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10</w:t>
                  </w:r>
                </w:p>
              </w:tc>
            </w:tr>
            <w:tr>
              <w:tblPrEx>
                <w:tblLayout w:type="fixed"/>
                <w:tblCellMar>
                  <w:top w:w="0" w:type="dxa"/>
                  <w:left w:w="0" w:type="dxa"/>
                  <w:bottom w:w="0" w:type="dxa"/>
                  <w:right w:w="0" w:type="dxa"/>
                </w:tblCellMar>
              </w:tblPrEx>
              <w:trPr>
                <w:trHeight w:val="216" w:hRule="atLeast"/>
                <w:tblCellSpacing w:w="0" w:type="dxa"/>
              </w:trPr>
              <w:tc>
                <w:tcPr>
                  <w:tcW w:w="62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2-2</w:t>
                  </w:r>
                </w:p>
              </w:tc>
              <w:tc>
                <w:tcPr>
                  <w:tcW w:w="62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1-1</w:t>
                  </w:r>
                </w:p>
              </w:tc>
              <w:tc>
                <w:tcPr>
                  <w:tcW w:w="828"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1</w:t>
                  </w:r>
                </w:p>
              </w:tc>
              <w:tc>
                <w:tcPr>
                  <w:tcW w:w="912"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1</w:t>
                  </w:r>
                </w:p>
              </w:tc>
              <w:tc>
                <w:tcPr>
                  <w:tcW w:w="68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20</w:t>
                  </w:r>
                </w:p>
              </w:tc>
            </w:tr>
            <w:tr>
              <w:tblPrEx>
                <w:tblLayout w:type="fixed"/>
                <w:tblCellMar>
                  <w:top w:w="0" w:type="dxa"/>
                  <w:left w:w="0" w:type="dxa"/>
                  <w:bottom w:w="0" w:type="dxa"/>
                  <w:right w:w="0" w:type="dxa"/>
                </w:tblCellMar>
              </w:tblPrEx>
              <w:trPr>
                <w:trHeight w:val="216" w:hRule="atLeast"/>
                <w:tblCellSpacing w:w="0" w:type="dxa"/>
              </w:trPr>
              <w:tc>
                <w:tcPr>
                  <w:tcW w:w="62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2-2</w:t>
                  </w:r>
                </w:p>
              </w:tc>
              <w:tc>
                <w:tcPr>
                  <w:tcW w:w="62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1-1</w:t>
                  </w:r>
                </w:p>
              </w:tc>
              <w:tc>
                <w:tcPr>
                  <w:tcW w:w="828"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4</w:t>
                  </w:r>
                </w:p>
              </w:tc>
              <w:tc>
                <w:tcPr>
                  <w:tcW w:w="912"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3</w:t>
                  </w:r>
                </w:p>
              </w:tc>
              <w:tc>
                <w:tcPr>
                  <w:tcW w:w="68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10</w:t>
                  </w:r>
                </w:p>
              </w:tc>
            </w:tr>
            <w:tr>
              <w:tblPrEx>
                <w:tblLayout w:type="fixed"/>
                <w:tblCellMar>
                  <w:top w:w="0" w:type="dxa"/>
                  <w:left w:w="0" w:type="dxa"/>
                  <w:bottom w:w="0" w:type="dxa"/>
                  <w:right w:w="0" w:type="dxa"/>
                </w:tblCellMar>
              </w:tblPrEx>
              <w:trPr>
                <w:trHeight w:val="216" w:hRule="atLeast"/>
                <w:tblCellSpacing w:w="0" w:type="dxa"/>
              </w:trPr>
              <w:tc>
                <w:tcPr>
                  <w:tcW w:w="62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2-2</w:t>
                  </w:r>
                </w:p>
              </w:tc>
              <w:tc>
                <w:tcPr>
                  <w:tcW w:w="62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1-1</w:t>
                  </w:r>
                </w:p>
              </w:tc>
              <w:tc>
                <w:tcPr>
                  <w:tcW w:w="828"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4</w:t>
                  </w:r>
                </w:p>
              </w:tc>
              <w:tc>
                <w:tcPr>
                  <w:tcW w:w="912"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5</w:t>
                  </w:r>
                </w:p>
              </w:tc>
              <w:tc>
                <w:tcPr>
                  <w:tcW w:w="68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10</w:t>
                  </w:r>
                </w:p>
              </w:tc>
            </w:tr>
            <w:tr>
              <w:tblPrEx>
                <w:tblLayout w:type="fixed"/>
                <w:tblCellMar>
                  <w:top w:w="0" w:type="dxa"/>
                  <w:left w:w="0" w:type="dxa"/>
                  <w:bottom w:w="0" w:type="dxa"/>
                  <w:right w:w="0" w:type="dxa"/>
                </w:tblCellMar>
              </w:tblPrEx>
              <w:trPr>
                <w:trHeight w:val="216" w:hRule="atLeast"/>
                <w:tblCellSpacing w:w="0" w:type="dxa"/>
              </w:trPr>
              <w:tc>
                <w:tcPr>
                  <w:tcW w:w="62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2-1</w:t>
                  </w:r>
                </w:p>
              </w:tc>
              <w:tc>
                <w:tcPr>
                  <w:tcW w:w="62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2-1</w:t>
                  </w:r>
                </w:p>
              </w:tc>
              <w:tc>
                <w:tcPr>
                  <w:tcW w:w="828"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11</w:t>
                  </w:r>
                </w:p>
              </w:tc>
              <w:tc>
                <w:tcPr>
                  <w:tcW w:w="912"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12</w:t>
                  </w:r>
                </w:p>
              </w:tc>
              <w:tc>
                <w:tcPr>
                  <w:tcW w:w="68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50</w:t>
                  </w:r>
                </w:p>
              </w:tc>
            </w:tr>
            <w:tr>
              <w:tblPrEx>
                <w:tblLayout w:type="fixed"/>
                <w:tblCellMar>
                  <w:top w:w="0" w:type="dxa"/>
                  <w:left w:w="0" w:type="dxa"/>
                  <w:bottom w:w="0" w:type="dxa"/>
                  <w:right w:w="0" w:type="dxa"/>
                </w:tblCellMar>
              </w:tblPrEx>
              <w:trPr>
                <w:trHeight w:val="216" w:hRule="atLeast"/>
                <w:tblCellSpacing w:w="0" w:type="dxa"/>
              </w:trPr>
              <w:tc>
                <w:tcPr>
                  <w:tcW w:w="62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2-1</w:t>
                  </w:r>
                </w:p>
              </w:tc>
              <w:tc>
                <w:tcPr>
                  <w:tcW w:w="62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2-1</w:t>
                  </w:r>
                </w:p>
              </w:tc>
              <w:tc>
                <w:tcPr>
                  <w:tcW w:w="828"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12</w:t>
                  </w:r>
                </w:p>
              </w:tc>
              <w:tc>
                <w:tcPr>
                  <w:tcW w:w="912"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13</w:t>
                  </w:r>
                </w:p>
              </w:tc>
              <w:tc>
                <w:tcPr>
                  <w:tcW w:w="684" w:type="dxa"/>
                  <w:shd w:val="clear" w:color="auto" w:fill="auto"/>
                  <w:vAlign w:val="top"/>
                </w:tcPr>
                <w:p>
                  <w:pPr>
                    <w:keepNext w:val="0"/>
                    <w:keepLines w:val="0"/>
                    <w:widowControl/>
                    <w:suppressLineNumbers w:val="0"/>
                    <w:jc w:val="left"/>
                    <w:textAlignment w:val="top"/>
                    <w:rPr>
                      <w:sz w:val="24"/>
                      <w:szCs w:val="24"/>
                    </w:rPr>
                  </w:pPr>
                  <w:r>
                    <w:rPr>
                      <w:rFonts w:ascii="宋体" w:hAnsi="宋体" w:eastAsia="宋体" w:cs="宋体"/>
                      <w:kern w:val="0"/>
                      <w:sz w:val="24"/>
                      <w:szCs w:val="24"/>
                      <w:lang w:val="en-US" w:eastAsia="zh-CN" w:bidi="ar"/>
                    </w:rPr>
                    <w:t>50</w:t>
                  </w:r>
                </w:p>
              </w:tc>
            </w:tr>
          </w:tbl>
          <w:p>
            <w:pPr>
              <w:keepNext w:val="0"/>
              <w:keepLines w:val="0"/>
              <w:widowControl/>
              <w:suppressLineNumbers w:val="0"/>
              <w:jc w:val="left"/>
              <w:rPr>
                <w:sz w:val="24"/>
                <w:szCs w:val="24"/>
              </w:rPr>
            </w:pPr>
            <w:r>
              <w:rPr>
                <w:rFonts w:ascii="宋体" w:hAnsi="宋体" w:eastAsia="宋体" w:cs="宋体"/>
                <w:kern w:val="0"/>
                <w:sz w:val="24"/>
                <w:szCs w:val="24"/>
                <w:lang w:val="en-US" w:eastAsia="zh-CN" w:bidi="ar"/>
              </w:rPr>
              <w:t>为了方便计算，同存储单元内（如2-1）的冲突整数按照规则计算一次违约分，相邻存储单元内（如1-1和2-2）的冲突整数由于参照主体改变会重复计算违约分。最后的总分为所有违约分的总和。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评价标准：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本题没有标准答案，完全以运行时间和最后的违约值来评价比赛结果。评审组将随机确定各数据存储单元内的整数个数，分别运行各比赛小组提交的程序，并将各程序在规定的比赛时间内运算的有效分配结果进行违约值统计，然后按违约值由低到高排序，根据违约值排序产生结果排名（如果违约值相同，则用时少的小组排名靠前；违约值相同并且用时相同的小组排名相同）。</w:t>
            </w:r>
          </w:p>
        </w:tc>
      </w:tr>
    </w:tbl>
    <w:p/>
    <w:p/>
    <w:p>
      <w:r>
        <w:br w:type="page"/>
      </w:r>
    </w:p>
    <w:p>
      <w:bookmarkStart w:id="0" w:name="_GoBack"/>
      <w:bookmarkEnd w:id="0"/>
    </w:p>
    <w:p>
      <w:pPr>
        <w:rPr>
          <w:rFonts w:hint="eastAsia"/>
          <w:lang w:val="en-US" w:eastAsia="zh-CN"/>
        </w:rPr>
      </w:pPr>
      <w:r>
        <w:rPr>
          <w:rFonts w:hint="eastAsia"/>
          <w:lang w:val="en-US" w:eastAsia="zh-CN"/>
        </w:rPr>
        <w:t>题目2：</w:t>
      </w:r>
    </w:p>
    <w:p>
      <w:pPr>
        <w:spacing w:line="360" w:lineRule="auto"/>
        <w:jc w:val="center"/>
        <w:rPr>
          <w:rFonts w:hint="eastAsia"/>
          <w:bCs/>
          <w:sz w:val="28"/>
          <w:szCs w:val="28"/>
        </w:rPr>
      </w:pPr>
      <w:r>
        <w:rPr>
          <w:rFonts w:hint="eastAsia"/>
          <w:b/>
          <w:bCs/>
          <w:sz w:val="32"/>
          <w:szCs w:val="32"/>
        </w:rPr>
        <w:t>社区养老系统开发</w:t>
      </w:r>
      <w:r>
        <w:rPr>
          <w:bCs/>
          <w:sz w:val="44"/>
        </w:rPr>
        <w:softHyphen/>
      </w:r>
    </w:p>
    <w:tbl>
      <w:tblPr>
        <w:tblStyle w:val="6"/>
        <w:tblW w:w="86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spacing w:line="360" w:lineRule="auto"/>
              <w:jc w:val="left"/>
              <w:rPr>
                <w:rFonts w:hint="eastAsia" w:ascii="宋体" w:hAnsi="宋体"/>
                <w:bCs/>
                <w:sz w:val="28"/>
                <w:szCs w:val="28"/>
              </w:rPr>
            </w:pPr>
            <w:r>
              <w:rPr>
                <w:rFonts w:hint="eastAsia" w:ascii="宋体" w:hAnsi="宋体"/>
                <w:bCs/>
                <w:sz w:val="28"/>
                <w:szCs w:val="28"/>
              </w:rPr>
              <w:t>赛题主要业务背景：</w:t>
            </w:r>
          </w:p>
        </w:tc>
        <w:tc>
          <w:tcPr>
            <w:tcW w:w="6571" w:type="dxa"/>
            <w:vAlign w:val="top"/>
          </w:tcPr>
          <w:p>
            <w:pPr>
              <w:ind w:firstLine="420" w:firstLineChars="200"/>
              <w:jc w:val="left"/>
              <w:rPr>
                <w:rFonts w:ascii="宋体" w:hAnsi="宋体" w:cs="Arial"/>
                <w:color w:val="333333"/>
                <w:szCs w:val="21"/>
              </w:rPr>
            </w:pPr>
            <w:r>
              <w:rPr>
                <w:rFonts w:ascii="宋体" w:hAnsi="宋体"/>
                <w:bCs/>
                <w:szCs w:val="21"/>
              </w:rPr>
              <w:t>中国目前逐步进入老龄化社会</w:t>
            </w:r>
            <w:r>
              <w:rPr>
                <w:rFonts w:hint="eastAsia" w:ascii="宋体" w:hAnsi="宋体"/>
                <w:bCs/>
                <w:szCs w:val="21"/>
              </w:rPr>
              <w:t>，6</w:t>
            </w:r>
            <w:r>
              <w:rPr>
                <w:rFonts w:ascii="宋体" w:hAnsi="宋体"/>
                <w:bCs/>
                <w:szCs w:val="21"/>
              </w:rPr>
              <w:t>0岁以上的人口</w:t>
            </w:r>
            <w:r>
              <w:rPr>
                <w:rFonts w:hint="eastAsia" w:ascii="宋体" w:hAnsi="宋体"/>
                <w:bCs/>
                <w:szCs w:val="21"/>
              </w:rPr>
              <w:t>2.</w:t>
            </w:r>
            <w:r>
              <w:rPr>
                <w:rFonts w:ascii="宋体" w:hAnsi="宋体"/>
                <w:bCs/>
                <w:szCs w:val="21"/>
              </w:rPr>
              <w:t>41亿</w:t>
            </w:r>
            <w:r>
              <w:rPr>
                <w:rFonts w:hint="eastAsia" w:ascii="宋体" w:hAnsi="宋体"/>
                <w:bCs/>
                <w:szCs w:val="21"/>
              </w:rPr>
              <w:t>，</w:t>
            </w:r>
            <w:r>
              <w:rPr>
                <w:rFonts w:ascii="宋体" w:hAnsi="宋体" w:cs="Arial"/>
                <w:color w:val="333333"/>
                <w:szCs w:val="21"/>
              </w:rPr>
              <w:t>随着第一代独生子女的父母陆续步入老年，越来越多的家庭面临一对夫妇需赡养4位以上老人的局面</w:t>
            </w:r>
            <w:r>
              <w:rPr>
                <w:rFonts w:hint="eastAsia" w:ascii="宋体" w:hAnsi="宋体" w:cs="Arial"/>
                <w:color w:val="333333"/>
                <w:szCs w:val="21"/>
              </w:rPr>
              <w:t>，</w:t>
            </w:r>
            <w:r>
              <w:rPr>
                <w:rFonts w:ascii="宋体" w:hAnsi="宋体" w:cs="Arial"/>
                <w:color w:val="333333"/>
                <w:szCs w:val="21"/>
              </w:rPr>
              <w:t>这还不包括众多的空巢老人</w:t>
            </w:r>
            <w:r>
              <w:rPr>
                <w:rFonts w:hint="eastAsia" w:ascii="宋体" w:hAnsi="宋体" w:cs="Arial"/>
                <w:color w:val="333333"/>
                <w:szCs w:val="21"/>
              </w:rPr>
              <w:t>。</w:t>
            </w:r>
            <w:r>
              <w:rPr>
                <w:rFonts w:ascii="宋体" w:hAnsi="宋体" w:cs="Arial"/>
                <w:color w:val="333333"/>
                <w:szCs w:val="21"/>
              </w:rPr>
              <w:t>面对这一"养老考验</w:t>
            </w:r>
            <w:r>
              <w:rPr>
                <w:rFonts w:hint="eastAsia" w:ascii="宋体" w:hAnsi="宋体" w:cs="Arial"/>
                <w:color w:val="333333"/>
                <w:szCs w:val="21"/>
              </w:rPr>
              <w:t>，</w:t>
            </w:r>
            <w:r>
              <w:rPr>
                <w:rFonts w:ascii="Arial" w:hAnsi="Arial" w:cs="Arial"/>
                <w:color w:val="333333"/>
                <w:szCs w:val="21"/>
              </w:rPr>
              <w:t>社区探索给居家养老的老人提供所需要的服务，以解决养老难题</w:t>
            </w:r>
            <w:r>
              <w:rPr>
                <w:rFonts w:hint="eastAsia" w:ascii="Arial" w:hAnsi="Arial" w:cs="Arial"/>
                <w:color w:val="333333"/>
                <w:szCs w:val="21"/>
              </w:rPr>
              <w:t>。</w:t>
            </w:r>
          </w:p>
          <w:p>
            <w:pPr>
              <w:ind w:firstLine="420" w:firstLineChars="200"/>
              <w:jc w:val="left"/>
              <w:rPr>
                <w:rFonts w:hint="eastAsia" w:ascii="宋体" w:hAnsi="宋体"/>
                <w:bCs/>
                <w:szCs w:val="21"/>
              </w:rPr>
            </w:pPr>
            <w:r>
              <w:rPr>
                <w:rFonts w:ascii="宋体" w:hAnsi="宋体" w:cs="Arial"/>
                <w:color w:val="333333"/>
                <w:szCs w:val="21"/>
              </w:rPr>
              <w:t>区别于依靠亲属的家庭养老或者社会和政府资源的社会养老</w:t>
            </w:r>
            <w:r>
              <w:rPr>
                <w:rFonts w:hint="eastAsia" w:ascii="宋体" w:hAnsi="宋体" w:cs="Arial"/>
                <w:color w:val="333333"/>
                <w:szCs w:val="21"/>
              </w:rPr>
              <w:t>，</w:t>
            </w:r>
            <w:r>
              <w:rPr>
                <w:rFonts w:ascii="宋体" w:hAnsi="宋体" w:cs="Arial"/>
                <w:color w:val="333333"/>
                <w:szCs w:val="21"/>
              </w:rPr>
              <w:t>社区养老由于</w:t>
            </w:r>
            <w:r>
              <w:rPr>
                <w:rFonts w:ascii="Arial" w:hAnsi="Arial" w:cs="Arial"/>
                <w:color w:val="333333"/>
                <w:szCs w:val="21"/>
              </w:rPr>
              <w:t>吸收了家庭养老和社会养老方式的优点和可操作性，把家庭养老和机构养老的最佳结合点集中在社区。是针对</w:t>
            </w:r>
            <w:r>
              <w:fldChar w:fldCharType="begin"/>
            </w:r>
            <w:r>
              <w:instrText xml:space="preserve"> HYPERLINK "https://baike.so.com/doc/1279856-24188840.html" \t "_blank" </w:instrText>
            </w:r>
            <w:r>
              <w:fldChar w:fldCharType="separate"/>
            </w:r>
            <w:r>
              <w:rPr>
                <w:rStyle w:val="5"/>
                <w:rFonts w:ascii="Arial" w:hAnsi="Arial" w:cs="Arial"/>
                <w:color w:val="136EC2"/>
                <w:szCs w:val="21"/>
              </w:rPr>
              <w:t>中国</w:t>
            </w:r>
            <w:r>
              <w:fldChar w:fldCharType="end"/>
            </w:r>
            <w:r>
              <w:rPr>
                <w:rFonts w:ascii="Arial" w:hAnsi="Arial" w:cs="Arial"/>
                <w:color w:val="333333"/>
                <w:szCs w:val="21"/>
              </w:rPr>
              <w:t>社会转型期在21世纪上半叶所面临的巨大老龄化问题所提出的一种新型养老方式</w:t>
            </w:r>
            <w:r>
              <w:rPr>
                <w:rFonts w:hint="eastAsia" w:ascii="Arial" w:hAnsi="Arial" w:cs="Arial"/>
                <w:color w:val="333333"/>
                <w:szCs w:val="21"/>
              </w:rPr>
              <w:t>。</w:t>
            </w:r>
          </w:p>
          <w:p>
            <w:pPr>
              <w:pStyle w:val="2"/>
              <w:spacing w:before="0" w:beforeAutospacing="0" w:after="225" w:afterAutospacing="0" w:line="360" w:lineRule="atLeast"/>
              <w:ind w:firstLine="420"/>
              <w:rPr>
                <w:rFonts w:hint="eastAsia" w:ascii="Arial" w:hAnsi="Arial" w:cs="Arial"/>
                <w:color w:val="333333"/>
                <w:sz w:val="21"/>
                <w:szCs w:val="21"/>
              </w:rPr>
            </w:pPr>
            <w:r>
              <w:rPr>
                <w:rFonts w:ascii="Arial" w:hAnsi="Arial" w:cs="Arial"/>
                <w:color w:val="333333"/>
                <w:sz w:val="21"/>
                <w:szCs w:val="21"/>
              </w:rPr>
              <w:t>社区养老服务"就是通过政府扶持、社会参与、市场运作，逐步建立以家庭养老为核心，社区服务为依托，专业化服务为依靠，向居家老人提供</w:t>
            </w:r>
            <w:r>
              <w:rPr>
                <w:rFonts w:ascii="Arial" w:hAnsi="Arial" w:cs="Arial"/>
                <w:b/>
                <w:color w:val="333333"/>
                <w:sz w:val="21"/>
                <w:szCs w:val="21"/>
              </w:rPr>
              <w:t>生活照料、医疗保健、精神慰藉、文化娱乐</w:t>
            </w:r>
            <w:r>
              <w:rPr>
                <w:rFonts w:ascii="Arial" w:hAnsi="Arial" w:cs="Arial"/>
                <w:color w:val="333333"/>
                <w:sz w:val="21"/>
                <w:szCs w:val="21"/>
              </w:rPr>
              <w:t>等为主要内容的服务。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spacing w:line="360" w:lineRule="auto"/>
              <w:jc w:val="left"/>
              <w:rPr>
                <w:rFonts w:hint="eastAsia"/>
                <w:bCs/>
                <w:sz w:val="28"/>
                <w:szCs w:val="28"/>
              </w:rPr>
            </w:pPr>
            <w:r>
              <w:rPr>
                <w:rFonts w:hint="eastAsia"/>
                <w:bCs/>
                <w:sz w:val="28"/>
                <w:szCs w:val="28"/>
              </w:rPr>
              <w:t>赛题主要业务场景（供参考，参赛者也可以根据系统背景自行分析并提出业务</w:t>
            </w:r>
            <w:r>
              <w:rPr>
                <w:bCs/>
                <w:sz w:val="28"/>
                <w:szCs w:val="28"/>
              </w:rPr>
              <w:t>场景</w:t>
            </w:r>
            <w:r>
              <w:rPr>
                <w:rFonts w:hint="eastAsia"/>
                <w:bCs/>
                <w:sz w:val="28"/>
                <w:szCs w:val="28"/>
              </w:rPr>
              <w:t>）</w:t>
            </w:r>
          </w:p>
        </w:tc>
        <w:tc>
          <w:tcPr>
            <w:tcW w:w="6571" w:type="dxa"/>
            <w:vAlign w:val="top"/>
          </w:tcPr>
          <w:p>
            <w:pPr>
              <w:spacing w:line="360" w:lineRule="auto"/>
              <w:ind w:firstLine="420" w:firstLineChars="200"/>
              <w:jc w:val="left"/>
              <w:rPr>
                <w:bCs/>
                <w:szCs w:val="21"/>
              </w:rPr>
            </w:pPr>
            <w:r>
              <w:rPr>
                <w:rFonts w:hint="eastAsia"/>
                <w:bCs/>
                <w:szCs w:val="21"/>
              </w:rPr>
              <w:t>管理人员或者运管人员可以随时查询社区参与养老人员的基本信息和健康状况信息。</w:t>
            </w:r>
          </w:p>
          <w:p>
            <w:pPr>
              <w:spacing w:line="360" w:lineRule="auto"/>
              <w:ind w:firstLine="420" w:firstLineChars="200"/>
              <w:jc w:val="left"/>
              <w:rPr>
                <w:rFonts w:hint="eastAsia"/>
                <w:bCs/>
                <w:szCs w:val="21"/>
              </w:rPr>
            </w:pPr>
            <w:r>
              <w:rPr>
                <w:bCs/>
                <w:szCs w:val="21"/>
              </w:rPr>
              <w:t>管理人员可以监控老人的实时健康情况</w:t>
            </w:r>
            <w:r>
              <w:rPr>
                <w:rFonts w:hint="eastAsia"/>
                <w:bCs/>
                <w:szCs w:val="21"/>
              </w:rPr>
              <w:t>。</w:t>
            </w:r>
          </w:p>
          <w:p>
            <w:pPr>
              <w:spacing w:line="360" w:lineRule="auto"/>
              <w:ind w:firstLine="420" w:firstLineChars="200"/>
              <w:jc w:val="left"/>
              <w:rPr>
                <w:bCs/>
                <w:szCs w:val="21"/>
              </w:rPr>
            </w:pPr>
            <w:r>
              <w:rPr>
                <w:bCs/>
                <w:szCs w:val="21"/>
              </w:rPr>
              <w:t>老人或监护人提出日常起居生活照顾</w:t>
            </w:r>
          </w:p>
          <w:p>
            <w:pPr>
              <w:spacing w:line="360" w:lineRule="auto"/>
              <w:ind w:firstLine="420" w:firstLineChars="200"/>
              <w:jc w:val="left"/>
              <w:rPr>
                <w:rFonts w:hint="eastAsia"/>
                <w:bCs/>
                <w:szCs w:val="21"/>
              </w:rPr>
            </w:pPr>
            <w:r>
              <w:rPr>
                <w:bCs/>
                <w:szCs w:val="21"/>
              </w:rPr>
              <w:t>老人或监护人提出就医要求</w:t>
            </w:r>
            <w:r>
              <w:rPr>
                <w:rFonts w:hint="eastAsia"/>
                <w:bCs/>
                <w:szCs w:val="21"/>
              </w:rPr>
              <w:t>。</w:t>
            </w:r>
          </w:p>
          <w:p>
            <w:pPr>
              <w:spacing w:line="360" w:lineRule="auto"/>
              <w:ind w:firstLine="420" w:firstLineChars="200"/>
              <w:jc w:val="left"/>
              <w:rPr>
                <w:bCs/>
                <w:szCs w:val="21"/>
              </w:rPr>
            </w:pPr>
            <w:r>
              <w:rPr>
                <w:bCs/>
                <w:szCs w:val="21"/>
              </w:rPr>
              <w:t>老人或监护人提出外出请求</w:t>
            </w:r>
            <w:r>
              <w:rPr>
                <w:rFonts w:hint="eastAsia"/>
                <w:bCs/>
                <w:szCs w:val="21"/>
              </w:rPr>
              <w:t>。</w:t>
            </w:r>
          </w:p>
          <w:p>
            <w:pPr>
              <w:spacing w:line="360" w:lineRule="auto"/>
              <w:ind w:firstLine="420" w:firstLineChars="200"/>
              <w:jc w:val="left"/>
              <w:rPr>
                <w:bCs/>
                <w:szCs w:val="21"/>
              </w:rPr>
            </w:pPr>
            <w:r>
              <w:rPr>
                <w:bCs/>
                <w:szCs w:val="21"/>
              </w:rPr>
              <w:t>系统定时提醒老人运动</w:t>
            </w:r>
            <w:r>
              <w:rPr>
                <w:rFonts w:hint="eastAsia"/>
                <w:bCs/>
                <w:szCs w:val="21"/>
              </w:rPr>
              <w:t>、</w:t>
            </w:r>
            <w:r>
              <w:rPr>
                <w:bCs/>
                <w:szCs w:val="21"/>
              </w:rPr>
              <w:t>服药等</w:t>
            </w:r>
            <w:r>
              <w:rPr>
                <w:rFonts w:hint="eastAsia"/>
                <w:bCs/>
                <w:szCs w:val="21"/>
              </w:rPr>
              <w:t>。</w:t>
            </w:r>
          </w:p>
          <w:p>
            <w:pPr>
              <w:spacing w:line="360" w:lineRule="auto"/>
              <w:ind w:firstLine="420" w:firstLineChars="200"/>
              <w:jc w:val="left"/>
              <w:rPr>
                <w:rFonts w:hint="eastAsia"/>
                <w:bCs/>
                <w:szCs w:val="21"/>
              </w:rPr>
            </w:pPr>
            <w:r>
              <w:rPr>
                <w:bCs/>
                <w:szCs w:val="21"/>
              </w:rPr>
              <w:t>系统提供养老社区交流平台</w:t>
            </w:r>
            <w:r>
              <w:rPr>
                <w:rFonts w:hint="eastAsia"/>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spacing w:line="360" w:lineRule="auto"/>
              <w:jc w:val="left"/>
              <w:rPr>
                <w:rFonts w:hint="eastAsia"/>
                <w:bCs/>
                <w:sz w:val="28"/>
                <w:szCs w:val="28"/>
              </w:rPr>
            </w:pPr>
            <w:r>
              <w:rPr>
                <w:rFonts w:hint="eastAsia"/>
                <w:bCs/>
                <w:sz w:val="28"/>
                <w:szCs w:val="28"/>
              </w:rPr>
              <w:t>系统总体需求</w:t>
            </w:r>
          </w:p>
        </w:tc>
        <w:tc>
          <w:tcPr>
            <w:tcW w:w="6571" w:type="dxa"/>
            <w:vAlign w:val="top"/>
          </w:tcPr>
          <w:p>
            <w:pPr>
              <w:spacing w:line="360" w:lineRule="auto"/>
              <w:ind w:firstLine="420" w:firstLineChars="200"/>
              <w:jc w:val="left"/>
              <w:rPr>
                <w:rFonts w:hint="eastAsia"/>
                <w:bCs/>
                <w:szCs w:val="21"/>
              </w:rPr>
            </w:pPr>
            <w:r>
              <w:rPr>
                <w:rFonts w:hint="eastAsia"/>
                <w:bCs/>
                <w:szCs w:val="21"/>
              </w:rPr>
              <w:t>基于上述赛题业务场景，构建一个社区养老管理系统，</w:t>
            </w:r>
          </w:p>
          <w:p>
            <w:pPr>
              <w:numPr>
                <w:ilvl w:val="0"/>
                <w:numId w:val="2"/>
              </w:numPr>
              <w:spacing w:line="360" w:lineRule="auto"/>
              <w:jc w:val="left"/>
              <w:rPr>
                <w:bCs/>
                <w:szCs w:val="21"/>
              </w:rPr>
            </w:pPr>
            <w:r>
              <w:rPr>
                <w:rFonts w:hint="eastAsia"/>
                <w:bCs/>
                <w:szCs w:val="21"/>
              </w:rPr>
              <w:t>开放性，能够随时和其他的一些系统进行互操作，例如医院就诊系统、家政系统、外卖系统等。</w:t>
            </w:r>
          </w:p>
          <w:p>
            <w:pPr>
              <w:numPr>
                <w:ilvl w:val="0"/>
                <w:numId w:val="2"/>
              </w:numPr>
              <w:spacing w:line="360" w:lineRule="auto"/>
              <w:jc w:val="left"/>
              <w:rPr>
                <w:rFonts w:hint="eastAsia"/>
                <w:bCs/>
                <w:szCs w:val="21"/>
              </w:rPr>
            </w:pPr>
            <w:r>
              <w:rPr>
                <w:rFonts w:hint="eastAsia"/>
                <w:bCs/>
                <w:szCs w:val="21"/>
              </w:rPr>
              <w:t>易用性，能够面向各种层次的老年用户操作。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spacing w:line="360" w:lineRule="auto"/>
              <w:jc w:val="left"/>
              <w:rPr>
                <w:rFonts w:hint="eastAsia"/>
                <w:bCs/>
                <w:sz w:val="28"/>
                <w:szCs w:val="28"/>
              </w:rPr>
            </w:pPr>
            <w:r>
              <w:rPr>
                <w:rFonts w:hint="eastAsia"/>
                <w:bCs/>
                <w:sz w:val="28"/>
                <w:szCs w:val="28"/>
              </w:rPr>
              <w:t>其他限制条件：开发环境、实验平台、开发语言</w:t>
            </w:r>
          </w:p>
        </w:tc>
        <w:tc>
          <w:tcPr>
            <w:tcW w:w="6571" w:type="dxa"/>
            <w:vAlign w:val="top"/>
          </w:tcPr>
          <w:p>
            <w:pPr>
              <w:numPr>
                <w:ilvl w:val="0"/>
                <w:numId w:val="3"/>
              </w:numPr>
              <w:spacing w:line="360" w:lineRule="auto"/>
              <w:jc w:val="left"/>
              <w:rPr>
                <w:bCs/>
                <w:szCs w:val="21"/>
              </w:rPr>
            </w:pPr>
            <w:r>
              <w:rPr>
                <w:rFonts w:hint="eastAsia"/>
                <w:bCs/>
                <w:szCs w:val="21"/>
              </w:rPr>
              <w:t>编程语言：Java</w:t>
            </w:r>
            <w:r>
              <w:rPr>
                <w:rFonts w:hint="eastAsia"/>
                <w:bCs/>
                <w:szCs w:val="21"/>
                <w:lang w:eastAsia="zh-CN"/>
              </w:rPr>
              <w:t>、</w:t>
            </w:r>
            <w:r>
              <w:rPr>
                <w:rFonts w:hint="eastAsia"/>
                <w:bCs/>
                <w:szCs w:val="21"/>
                <w:lang w:val="en-US" w:eastAsia="zh-CN"/>
              </w:rPr>
              <w:t>c++、c</w:t>
            </w:r>
            <w:r>
              <w:rPr>
                <w:rFonts w:hint="eastAsia"/>
                <w:bCs/>
                <w:szCs w:val="21"/>
              </w:rPr>
              <w:t>等；</w:t>
            </w:r>
          </w:p>
          <w:p>
            <w:pPr>
              <w:numPr>
                <w:ilvl w:val="0"/>
                <w:numId w:val="3"/>
              </w:numPr>
              <w:spacing w:line="360" w:lineRule="auto"/>
              <w:jc w:val="left"/>
              <w:rPr>
                <w:bCs/>
                <w:szCs w:val="21"/>
              </w:rPr>
            </w:pPr>
            <w:r>
              <w:rPr>
                <w:bCs/>
                <w:szCs w:val="21"/>
              </w:rPr>
              <w:t>分析设计语言</w:t>
            </w:r>
            <w:r>
              <w:rPr>
                <w:rFonts w:hint="eastAsia"/>
                <w:bCs/>
                <w:szCs w:val="21"/>
              </w:rPr>
              <w:t>：U</w:t>
            </w:r>
            <w:r>
              <w:rPr>
                <w:bCs/>
                <w:szCs w:val="21"/>
              </w:rPr>
              <w:t>ML</w:t>
            </w:r>
          </w:p>
          <w:p>
            <w:pPr>
              <w:numPr>
                <w:ilvl w:val="0"/>
                <w:numId w:val="3"/>
              </w:numPr>
              <w:spacing w:line="360" w:lineRule="auto"/>
              <w:jc w:val="left"/>
              <w:rPr>
                <w:rFonts w:hint="eastAsia"/>
                <w:bCs/>
                <w:szCs w:val="21"/>
              </w:rPr>
            </w:pPr>
            <w:r>
              <w:rPr>
                <w:rFonts w:hint="eastAsia"/>
                <w:bCs/>
                <w:szCs w:val="21"/>
              </w:rPr>
              <w:t>实验平台：西安工程大学计算机科学学院实验室相关IT设施；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spacing w:line="360" w:lineRule="auto"/>
              <w:jc w:val="left"/>
              <w:rPr>
                <w:rFonts w:hint="eastAsia"/>
                <w:bCs/>
                <w:sz w:val="28"/>
                <w:szCs w:val="28"/>
              </w:rPr>
            </w:pPr>
            <w:r>
              <w:rPr>
                <w:rFonts w:hint="eastAsia"/>
                <w:bCs/>
                <w:sz w:val="28"/>
                <w:szCs w:val="28"/>
              </w:rPr>
              <w:t>赛题要求</w:t>
            </w:r>
          </w:p>
        </w:tc>
        <w:tc>
          <w:tcPr>
            <w:tcW w:w="6571" w:type="dxa"/>
            <w:vAlign w:val="top"/>
          </w:tcPr>
          <w:p>
            <w:pPr>
              <w:spacing w:line="360" w:lineRule="auto"/>
              <w:jc w:val="left"/>
              <w:rPr>
                <w:rFonts w:hint="eastAsia"/>
                <w:bCs/>
                <w:szCs w:val="21"/>
              </w:rPr>
            </w:pPr>
            <w:r>
              <w:rPr>
                <w:rFonts w:hint="eastAsia"/>
                <w:bCs/>
                <w:szCs w:val="21"/>
              </w:rPr>
              <w:t>提交以下文档：</w:t>
            </w:r>
          </w:p>
          <w:p>
            <w:pPr>
              <w:spacing w:line="360" w:lineRule="auto"/>
              <w:jc w:val="left"/>
              <w:rPr>
                <w:rFonts w:hint="eastAsia"/>
                <w:bCs/>
                <w:szCs w:val="21"/>
              </w:rPr>
            </w:pPr>
            <w:r>
              <w:rPr>
                <w:rFonts w:hint="eastAsia"/>
                <w:bCs/>
                <w:szCs w:val="21"/>
              </w:rPr>
              <w:t>（</w:t>
            </w:r>
            <w:r>
              <w:rPr>
                <w:rFonts w:hint="eastAsia"/>
                <w:bCs/>
                <w:szCs w:val="21"/>
                <w:lang w:val="en-US" w:eastAsia="zh-CN"/>
              </w:rPr>
              <w:t>1</w:t>
            </w:r>
            <w:r>
              <w:rPr>
                <w:rFonts w:hint="eastAsia"/>
                <w:bCs/>
                <w:szCs w:val="21"/>
              </w:rPr>
              <w:t>）程序源代码</w:t>
            </w:r>
          </w:p>
          <w:p>
            <w:pPr>
              <w:spacing w:line="360" w:lineRule="auto"/>
              <w:ind w:firstLine="420" w:firstLineChars="200"/>
              <w:jc w:val="left"/>
              <w:rPr>
                <w:bCs/>
                <w:szCs w:val="21"/>
              </w:rPr>
            </w:pPr>
            <w:r>
              <w:rPr>
                <w:rFonts w:hint="eastAsia"/>
                <w:bCs/>
                <w:szCs w:val="21"/>
              </w:rPr>
              <w:t>指未编译的按照一定的程序设计语言规范书写的程序代码，包括代码结构说明书等。</w:t>
            </w:r>
          </w:p>
          <w:p>
            <w:pPr>
              <w:spacing w:line="360" w:lineRule="auto"/>
              <w:jc w:val="left"/>
              <w:rPr>
                <w:bCs/>
                <w:szCs w:val="21"/>
              </w:rPr>
            </w:pPr>
            <w:r>
              <w:rPr>
                <w:bCs/>
                <w:szCs w:val="21"/>
              </w:rPr>
              <w:t xml:space="preserve"> (</w:t>
            </w:r>
            <w:r>
              <w:rPr>
                <w:rFonts w:hint="eastAsia"/>
                <w:bCs/>
                <w:szCs w:val="21"/>
                <w:lang w:val="en-US" w:eastAsia="zh-CN"/>
              </w:rPr>
              <w:t>2</w:t>
            </w:r>
            <w:r>
              <w:rPr>
                <w:bCs/>
                <w:szCs w:val="21"/>
              </w:rPr>
              <w:t>) 运行及测试结果</w:t>
            </w:r>
          </w:p>
          <w:p>
            <w:pPr>
              <w:spacing w:line="360" w:lineRule="auto"/>
              <w:jc w:val="left"/>
              <w:rPr>
                <w:rFonts w:hint="eastAsia"/>
                <w:bCs/>
                <w:szCs w:val="21"/>
              </w:rPr>
            </w:pPr>
            <w:r>
              <w:rPr>
                <w:rFonts w:hint="eastAsia"/>
                <w:bCs/>
                <w:szCs w:val="21"/>
              </w:rPr>
              <w:t xml:space="preserve"> </w:t>
            </w:r>
            <w:r>
              <w:rPr>
                <w:bCs/>
                <w:szCs w:val="21"/>
              </w:rPr>
              <w:t xml:space="preserve">   针对某些主要场景的系统运行结果等</w:t>
            </w:r>
            <w:r>
              <w:rPr>
                <w:rFonts w:hint="eastAsia"/>
                <w:bCs/>
                <w:szCs w:val="21"/>
              </w:rPr>
              <w:t>。</w:t>
            </w: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749DC"/>
    <w:multiLevelType w:val="multilevel"/>
    <w:tmpl w:val="2F5749D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BAB421B"/>
    <w:multiLevelType w:val="multilevel"/>
    <w:tmpl w:val="3BAB421B"/>
    <w:lvl w:ilvl="0" w:tentative="0">
      <w:start w:val="1"/>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2">
    <w:nsid w:val="7BFC45A6"/>
    <w:multiLevelType w:val="multilevel"/>
    <w:tmpl w:val="7BFC45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860DE3"/>
    <w:rsid w:val="5A50467B"/>
    <w:rsid w:val="5CAB169C"/>
    <w:rsid w:val="72FD4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widowControl/>
      <w:spacing w:before="100" w:beforeAutospacing="1" w:after="100" w:afterAutospacing="1"/>
      <w:jc w:val="left"/>
    </w:pPr>
    <w:rPr>
      <w:rFonts w:ascii="宋体" w:hAnsi="宋体" w:cs="宋体"/>
      <w:kern w:val="0"/>
      <w:sz w:val="24"/>
    </w:rPr>
  </w:style>
  <w:style w:type="character" w:styleId="4">
    <w:name w:val="Strong"/>
    <w:basedOn w:val="3"/>
    <w:qFormat/>
    <w:uiPriority w:val="0"/>
    <w:rPr>
      <w:b/>
    </w:rPr>
  </w:style>
  <w:style w:type="character" w:styleId="5">
    <w:name w:val="Hyperlink"/>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98650</dc:creator>
  <cp:lastModifiedBy>路人A_</cp:lastModifiedBy>
  <dcterms:modified xsi:type="dcterms:W3CDTF">2018-05-31T09:46:25Z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