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МЕЖГОСУДАРСТВЕННЫЙ СТАНДАРТ 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ШВЕЛЛЕРЫ СТАЛЬНЫЕ ГОРЯЧЕКАТАНЫЕ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Сортамент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val="en-US"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val="en-US" w:eastAsia="ru-RU"/>
        </w:rPr>
        <w:t>Hot-rolled steel channels.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val="en-US"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Дата</w:t>
      </w:r>
      <w:r w:rsidRPr="00BA4734">
        <w:rPr>
          <w:rFonts w:eastAsia="Times New Roman" w:cs="Arial"/>
          <w:b/>
          <w:bCs/>
          <w:color w:val="494949"/>
          <w:sz w:val="24"/>
          <w:szCs w:val="24"/>
          <w:lang w:val="en-US" w:eastAsia="ru-RU"/>
        </w:rPr>
        <w:t xml:space="preserve"> </w:t>
      </w: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введения</w:t>
      </w:r>
      <w:r w:rsidRPr="00BA4734">
        <w:rPr>
          <w:rFonts w:eastAsia="Times New Roman" w:cs="Arial"/>
          <w:b/>
          <w:bCs/>
          <w:color w:val="494949"/>
          <w:sz w:val="24"/>
          <w:szCs w:val="24"/>
          <w:lang w:val="en-US" w:eastAsia="ru-RU"/>
        </w:rPr>
        <w:t xml:space="preserve"> 2002-01-01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Взамен ГОСТ 8240-89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1. Область применения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Настоящий стандарт устанавливает сортамент стальных горячекатаных швеллеров общего и специального назначения высотой от 50 до 400 мм и шириной полок от 32 до 115 м.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2. Основные параметры и размеры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2.1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о форме и размерам швеллеры изготовляют следующих серий: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У - с уклоном внутренних граней полок;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- с параллельными гранями полок;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Э - 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экономичные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с параллельными гранями полок;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Л - легкой серии с параллельными гранями полок;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С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- специальные.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Условные обозначения величин, характеризующих свойства швеллера: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h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высота (швеллера);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ширина полки;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толщина стенки;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толщина полки;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радиус внутреннего закругления;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радиус закругления полки;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BA473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0</w:t>
      </w: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расстояние от оси Y-Y до наружной грани стенки;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Δ - перекос полки;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f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- прогиб стенки по высоте сечения профиля;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lastRenderedPageBreak/>
        <w:t>F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площадь поперечного сечения;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- момент инерции;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W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момент сопротивления;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радиус инерции;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</w:t>
      </w:r>
      <w:r w:rsidRPr="00BA473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x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 - статический момент </w:t>
      </w:r>
      <w:proofErr w:type="spell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полусечения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2.2 Поперечное сечение швеллеров серий У, С должно соответствовать приведенному на рисунке 1, серий 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, Э, Л - на рисунке 2.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2.3 Размеры швеллеров, площадь поперечного сечения, масса 1 м и справочные значения для осей должны соответствовать приведенным в таблицах 1-5.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2.3.1 Площадь поперечного сечения и масса 1 м швеллера вычислены по номинальным размерам, плотность стали принята равной 7,85 г/см</w:t>
      </w:r>
      <w:r w:rsidRPr="00BA4734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BA4734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451610" cy="2860675"/>
            <wp:effectExtent l="19050" t="0" r="0" b="0"/>
            <wp:docPr id="255" name="Рисунок 255" descr="http://metallurg-moskva.ru/d/133304/d/8865760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metallurg-moskva.ru/d/133304/d/88657603_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                          </w:t>
      </w:r>
      <w:r w:rsidRPr="00BA4734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451610" cy="2860675"/>
            <wp:effectExtent l="19050" t="0" r="0" b="0"/>
            <wp:docPr id="256" name="Рисунок 256" descr="http://metallurg-moskva.ru/d/133304/d/image00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metallurg-moskva.ru/d/133304/d/image002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Рисунок 1                                                       Рисунок 2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Таблица 1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Швеллеры с уклоном внутренних граней полок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433"/>
        <w:gridCol w:w="432"/>
        <w:gridCol w:w="382"/>
        <w:gridCol w:w="481"/>
        <w:gridCol w:w="481"/>
        <w:gridCol w:w="382"/>
        <w:gridCol w:w="1240"/>
        <w:gridCol w:w="665"/>
        <w:gridCol w:w="633"/>
        <w:gridCol w:w="481"/>
        <w:gridCol w:w="481"/>
        <w:gridCol w:w="481"/>
        <w:gridCol w:w="481"/>
        <w:gridCol w:w="481"/>
        <w:gridCol w:w="481"/>
        <w:gridCol w:w="481"/>
      </w:tblGrid>
      <w:tr w:rsidR="00F66325" w:rsidRPr="00BA4734" w:rsidTr="00F66325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швеллера серии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У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 поперечного сечения F,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 кг</w:t>
            </w:r>
          </w:p>
        </w:tc>
        <w:tc>
          <w:tcPr>
            <w:tcW w:w="0" w:type="auto"/>
            <w:gridSpan w:val="7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30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S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lastRenderedPageBreak/>
              <w:t>i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5У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  <w:proofErr w:type="gram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У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16аУ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18аУ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7980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40У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Таблица 2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Швеллеры с параллельными гранями полок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433"/>
        <w:gridCol w:w="432"/>
        <w:gridCol w:w="382"/>
        <w:gridCol w:w="481"/>
        <w:gridCol w:w="481"/>
        <w:gridCol w:w="382"/>
        <w:gridCol w:w="1240"/>
        <w:gridCol w:w="665"/>
        <w:gridCol w:w="633"/>
        <w:gridCol w:w="481"/>
        <w:gridCol w:w="481"/>
        <w:gridCol w:w="481"/>
        <w:gridCol w:w="481"/>
        <w:gridCol w:w="481"/>
        <w:gridCol w:w="481"/>
        <w:gridCol w:w="481"/>
      </w:tblGrid>
      <w:tr w:rsidR="00F66325" w:rsidRPr="00BA4734" w:rsidTr="00F66325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Номер швеллера серии 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поперечного сечения F,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 кг</w:t>
            </w:r>
          </w:p>
        </w:tc>
        <w:tc>
          <w:tcPr>
            <w:tcW w:w="0" w:type="auto"/>
            <w:gridSpan w:val="7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  <w:proofErr w:type="gram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16аП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18аП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30П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40П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Таблица 3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Швеллеры экономичные с параллельными гранями полок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"/>
        <w:gridCol w:w="414"/>
        <w:gridCol w:w="414"/>
        <w:gridCol w:w="367"/>
        <w:gridCol w:w="460"/>
        <w:gridCol w:w="460"/>
        <w:gridCol w:w="367"/>
        <w:gridCol w:w="884"/>
        <w:gridCol w:w="633"/>
        <w:gridCol w:w="742"/>
        <w:gridCol w:w="649"/>
        <w:gridCol w:w="555"/>
        <w:gridCol w:w="649"/>
        <w:gridCol w:w="649"/>
        <w:gridCol w:w="555"/>
        <w:gridCol w:w="555"/>
        <w:gridCol w:w="460"/>
      </w:tblGrid>
      <w:tr w:rsidR="00F66325" w:rsidRPr="00BA4734" w:rsidTr="00F66325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швел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лера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серии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Э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попере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ч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</w:t>
            </w:r>
            <w:proofErr w:type="gram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ного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сечения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F, см2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1 м, кг</w:t>
            </w:r>
          </w:p>
        </w:tc>
        <w:tc>
          <w:tcPr>
            <w:tcW w:w="0" w:type="auto"/>
            <w:gridSpan w:val="7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 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 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  <w:proofErr w:type="gram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Э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1097,9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2134,2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179,05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24Э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4200,2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5837,1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389,14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8021,8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497,02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10864,5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350,05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40Э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15307,9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Таблица 4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Швеллеры легкой серии с параллельными гранями полок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414"/>
        <w:gridCol w:w="321"/>
        <w:gridCol w:w="367"/>
        <w:gridCol w:w="367"/>
        <w:gridCol w:w="401"/>
        <w:gridCol w:w="244"/>
        <w:gridCol w:w="1174"/>
        <w:gridCol w:w="633"/>
        <w:gridCol w:w="743"/>
        <w:gridCol w:w="649"/>
        <w:gridCol w:w="555"/>
        <w:gridCol w:w="649"/>
        <w:gridCol w:w="555"/>
        <w:gridCol w:w="555"/>
        <w:gridCol w:w="461"/>
        <w:gridCol w:w="461"/>
      </w:tblGrid>
      <w:tr w:rsidR="00F66325" w:rsidRPr="00BA4734" w:rsidTr="00F66325">
        <w:trPr>
          <w:trHeight w:val="48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швеллера серии Л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Площадь поперечного сечения F,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 кг</w:t>
            </w:r>
          </w:p>
        </w:tc>
        <w:tc>
          <w:tcPr>
            <w:tcW w:w="0" w:type="auto"/>
            <w:gridSpan w:val="7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Х-Х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30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748,17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1070,97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1476,39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2218,16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30Л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3186,74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1,51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Таблица 5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Швеллеры специальные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  <w:gridCol w:w="411"/>
        <w:gridCol w:w="411"/>
        <w:gridCol w:w="455"/>
        <w:gridCol w:w="455"/>
        <w:gridCol w:w="455"/>
        <w:gridCol w:w="455"/>
        <w:gridCol w:w="660"/>
        <w:gridCol w:w="872"/>
        <w:gridCol w:w="625"/>
        <w:gridCol w:w="733"/>
        <w:gridCol w:w="641"/>
        <w:gridCol w:w="548"/>
        <w:gridCol w:w="641"/>
        <w:gridCol w:w="548"/>
        <w:gridCol w:w="455"/>
        <w:gridCol w:w="455"/>
      </w:tblGrid>
      <w:tr w:rsidR="00F66325" w:rsidRPr="00BA4734" w:rsidTr="00F66325">
        <w:trPr>
          <w:trHeight w:val="48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швел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лера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серии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С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Уклон полок,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%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Площадь </w:t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попере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ч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-</w:t>
            </w:r>
            <w:proofErr w:type="gram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</w:r>
            <w:proofErr w:type="spell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ного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сечения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F, см2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1 м, кг</w:t>
            </w:r>
          </w:p>
        </w:tc>
        <w:tc>
          <w:tcPr>
            <w:tcW w:w="0" w:type="auto"/>
            <w:gridSpan w:val="6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не более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X-X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30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см</w:t>
            </w:r>
            <w:proofErr w:type="gramStart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A473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1,67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18Сб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1791,01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1913,71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20Сб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2360,88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236,09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327,23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24С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3841,35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320,11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3,91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5130,83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2,48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6045,43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30Са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6495,43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</w:tr>
      <w:tr w:rsidR="00F66325" w:rsidRPr="00BA4734" w:rsidTr="00F66325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30Сб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6945,43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2.3.2 Значения радиусов закругления, уклона внутренних граней полок, указанных на рисунках 1 и 2 и приведенных в таблицах 1-5, используют для построения калибров и на профиле </w:t>
      </w:r>
      <w:proofErr w:type="spell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неконтролируют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2.4 Форма швеллера и предельные отклонения по размерам должны соответствовать приведенным на рисунке 3 и в таблице 6.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2.4.1 Уклон внутренних граней полок швеллеров серии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У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должен быть в пределах от 4 % до 10 %. По соглашению потребителя с изготовителем уклон внутренних граней полок не должен превышать 8 % при </w:t>
      </w: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h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 xml:space="preserve"> &lt; 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300 мм и 5 % при </w:t>
      </w: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h</w:t>
      </w:r>
      <w:proofErr w:type="spellEnd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&gt; 300 мм.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2.5 Притупление прямых углов швеллеров до № 20 не должно превышать 2,5 мм, свыше № 20-3,5 мм. Притупление внешних углов не контролируют.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2.6 Швеллеры изготовляют длиной от 2 до 12 м, по соглашению потребителя с изготовителем - длиной свыше 12 м: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- мерной длины;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br/>
        <w:t>- мерной длины с немерной в количестве не более 5 </w:t>
      </w:r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% 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массы партии;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br/>
        <w:t>- кратной мерной длины;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br/>
        <w:t>- кратной мерной длины с немерной в количестве не более 5 % массы партии;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br/>
        <w:t>- немерной длины;</w:t>
      </w:r>
      <w:r w:rsidRPr="00BA4734">
        <w:rPr>
          <w:rFonts w:eastAsia="Times New Roman" w:cs="Arial"/>
          <w:color w:val="494949"/>
          <w:sz w:val="24"/>
          <w:szCs w:val="24"/>
          <w:lang w:eastAsia="ru-RU"/>
        </w:rPr>
        <w:br/>
        <w:t>- ограниченной длины в пределах немерной.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627505" cy="1526540"/>
            <wp:effectExtent l="19050" t="0" r="0" b="0"/>
            <wp:docPr id="257" name="Рисунок 257" descr="http://metallurg-moskva.ru/d/133304/d/8877120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metallurg-moskva.ru/d/133304/d/88771203_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Рисунок 3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Таблица 6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Предельные отклонения параметров</w:t>
      </w:r>
    </w:p>
    <w:tbl>
      <w:tblPr>
        <w:tblW w:w="850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7"/>
        <w:gridCol w:w="2379"/>
        <w:gridCol w:w="2109"/>
      </w:tblGrid>
      <w:tr w:rsidR="00FA4690" w:rsidRPr="00BA4734" w:rsidTr="00F66325">
        <w:trPr>
          <w:trHeight w:val="78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Интервал значений параметра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Предельное отклонение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Высота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80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80 » 200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200 » 400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Ширина полки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40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40 » 89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Толщина полки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10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10 » 11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Толщина стенки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5,1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5,1 » 6,0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±0,6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±0,7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Перекос полки Δ при ширине полки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, не более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95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0,015</w:t>
            </w: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Прогиб стенки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f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по высоте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h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сечения профиля, не более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До 100 </w:t>
            </w:r>
            <w:proofErr w:type="spell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</w:tr>
      <w:tr w:rsidR="00FA4690" w:rsidRPr="00BA4734" w:rsidTr="00F66325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Св. 100 » 200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</w:p>
        </w:tc>
      </w:tr>
      <w:tr w:rsidR="00FA4690" w:rsidRPr="00BA4734" w:rsidTr="00F66325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 200 » 400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7"/>
      </w:tblGrid>
      <w:tr w:rsidR="00FA4690" w:rsidRPr="00BA4734" w:rsidTr="00FA4690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FA4690" w:rsidRPr="00BA4734" w:rsidRDefault="00FA4690" w:rsidP="00F6632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Примечания</w:t>
            </w:r>
          </w:p>
          <w:p w:rsidR="00FA4690" w:rsidRPr="00BA4734" w:rsidRDefault="00FA4690" w:rsidP="00F6632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</w:t>
            </w:r>
            <w:proofErr w:type="gram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Д</w:t>
            </w:r>
            <w:proofErr w:type="gram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ля швеллеров серии Л прогиб стенки не должен превышать 0,15</w:t>
            </w:r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  <w:p w:rsidR="00FA4690" w:rsidRPr="00BA4734" w:rsidRDefault="00FA4690" w:rsidP="00F6632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2 Для швеллеров серий У и </w:t>
            </w:r>
            <w:proofErr w:type="gramStart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</w:t>
            </w:r>
            <w:proofErr w:type="gram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предельные отклонения по толщине стенки не контролируют.</w:t>
            </w:r>
          </w:p>
          <w:p w:rsidR="00FA4690" w:rsidRPr="00BA4734" w:rsidRDefault="00FA4690" w:rsidP="00F66325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 Перекос полки Δ и прогиб стенки </w:t>
            </w:r>
            <w:proofErr w:type="spellStart"/>
            <w:r w:rsidRPr="00BA4734">
              <w:rPr>
                <w:rFonts w:eastAsia="Times New Roman" w:cs="Arial"/>
                <w:i/>
                <w:iCs/>
                <w:color w:val="494949"/>
                <w:sz w:val="24"/>
                <w:szCs w:val="24"/>
                <w:lang w:eastAsia="ru-RU"/>
              </w:rPr>
              <w:t>f</w:t>
            </w:r>
            <w:proofErr w:type="spellEnd"/>
            <w:r w:rsidRPr="00BA473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швеллера измеряют, как показано на рисунке 3.</w:t>
            </w:r>
          </w:p>
        </w:tc>
      </w:tr>
    </w:tbl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2.7 Предельные отклонения по длине швеллеров мерной и кратной мерной длины не должны превышать: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при длине от 2 до 8 м </w:t>
      </w:r>
      <w:proofErr w:type="spell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включ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. - до +40 мм;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 »       »     св. 8 м - до +[40 + 5(</w:t>
      </w: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l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 - 8)] мм, но не более 100 мм</w:t>
      </w:r>
      <w:r w:rsidRPr="00BA473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,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где </w:t>
      </w:r>
      <w:proofErr w:type="spellStart"/>
      <w:r w:rsidRPr="00BA473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l</w:t>
      </w:r>
      <w:proofErr w:type="spell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 - длина швеллера, 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м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2.8 Швеллеры должны быть обрезаны. Косина реза не должна выводить длину швеллеров за предельные отклонения по длине.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Длина отдельного швеллера - это наибольшая длина условно вырезанной штанги с торцами, перпендикулярными к продольной оси.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2.9 Кривизна швеллера в горизонтальной и вертикальной </w:t>
      </w:r>
      <w:proofErr w:type="gramStart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плоскостях</w:t>
      </w:r>
      <w:proofErr w:type="gramEnd"/>
      <w:r w:rsidRPr="00BA4734">
        <w:rPr>
          <w:rFonts w:eastAsia="Times New Roman" w:cs="Arial"/>
          <w:color w:val="494949"/>
          <w:sz w:val="24"/>
          <w:szCs w:val="24"/>
          <w:lang w:eastAsia="ru-RU"/>
        </w:rPr>
        <w:t xml:space="preserve"> не должна превышать 0,2 % длины; по соглашению изготовителя с потребителем - до 0,15 % длины.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2.10 Предельные отклонения по массе не должны превышать ±4 % для партии и ±6 % для отдельного швеллера.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Отклонение от массы - это разность между фактической массой в состоянии поставки и рассчитанной по данным таблиц 1-5.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При расчете массы партии к метражу швеллеров мерной или кратной мерной длины прибавляют 0,5 от суммы предельных отклонений по длине швеллеров в партии.</w:t>
      </w:r>
    </w:p>
    <w:p w:rsidR="00FA4690" w:rsidRPr="00BA4734" w:rsidRDefault="00FA4690" w:rsidP="00F66325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A4734">
        <w:rPr>
          <w:rFonts w:eastAsia="Times New Roman" w:cs="Arial"/>
          <w:color w:val="494949"/>
          <w:sz w:val="24"/>
          <w:szCs w:val="24"/>
          <w:lang w:eastAsia="ru-RU"/>
        </w:rPr>
        <w:t>2.11 Размеры и геометрическую форму швеллера контролируют на расстоянии не менее 500 мм от торца. Высоту швеллера контролируют в плоскости стенки, толщину стенки - у торца профиля.</w:t>
      </w:r>
    </w:p>
    <w:p w:rsidR="004A461E" w:rsidRPr="00BA4734" w:rsidRDefault="004A461E" w:rsidP="00F66325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BA4734" w:rsidSect="00F6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A52D3"/>
    <w:rsid w:val="001B618C"/>
    <w:rsid w:val="003C6BBB"/>
    <w:rsid w:val="00442289"/>
    <w:rsid w:val="004A461E"/>
    <w:rsid w:val="0061580D"/>
    <w:rsid w:val="006F3DAC"/>
    <w:rsid w:val="00BA4734"/>
    <w:rsid w:val="00E817C6"/>
    <w:rsid w:val="00F66325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1808</Words>
  <Characters>10309</Characters>
  <Application>Microsoft Office Word</Application>
  <DocSecurity>0</DocSecurity>
  <Lines>85</Lines>
  <Paragraphs>24</Paragraphs>
  <ScaleCrop>false</ScaleCrop>
  <Company>Microsoft</Company>
  <LinksUpToDate>false</LinksUpToDate>
  <CharactersWithSpaces>12093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2013-02-25T06:31:00Z</dcterms:created>
  <dcterms:modified xsi:type="dcterms:W3CDTF">2013-02-28T10:50:00Z</dcterms:modified>
</cp:coreProperties>
</file>