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ГОСТ 8278-83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МЕЖГОСУДАРСТВЕННЫЙСТАНДАРТ</w:t>
      </w:r>
    </w:p>
    <w:tbl>
      <w:tblPr>
        <w:tblW w:w="947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5"/>
        <w:gridCol w:w="2047"/>
      </w:tblGrid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ШВЕЛЛЕРЫ СТАЛЬНЫЕ ГНУТЫЕ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РАВНОПОЛОЧНЫЕ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Сортамент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 ГОСТ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8278-83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Срок действия с 01.01.84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1. Настоящий стандарт распространяется на стальные гнутые равнополочные швеллеры, изготовляемые на профилегибочных станах из холоднокатаной и горячекатаной, рулонной стали обыкновенного качества, углеродистой качественной конструкционной и низколегированной.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Показатели технического уровня, установленные настоящим стандартом, предусмотрены для высшей и первой категории качества.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(Измененная редакция, Изм. № 1, 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1a. По точности профилирования швеллеры изготовляют: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высокой точности - А;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повышенной точности - Б;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обычной точности - В.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Требования высокой и повышенной точности профилирования соответствуют высшей категории качества.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(Введен дополнительно, Изм. № 1).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2. Поверочное сечение швеллеров должно соответствовать указанному на чертеже.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376045" cy="2030095"/>
            <wp:effectExtent l="19050" t="0" r="0" b="0"/>
            <wp:docPr id="261" name="Рисунок 261" descr="http://metallurg-moskva.ru/d/133304/d/image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metallurg-moskva.ru/d/133304/d/image_4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lastRenderedPageBreak/>
        <w:t>h -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высота стенки;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 -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ширина полки; s - толщина швеллера;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 -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радиус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кривизны;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W 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-момент сопротивления;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- момент инерции;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-радиус инерции;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836775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x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- статический момент полусечения,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836775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расстояние от оси 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у - у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до наружной поверхности стенки;  - отношение расчетного свеса полки к толщине швеллера;  - отношение расчетной высоты к толщине швеллера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3. Размеры швеллеров, площадь поперечного сечения, справочные значения величин для осей и масса 1 м швеллера должны соответствовать: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для швеллеров из углеродистой кипящей и полуспокойной стали -указанным в табл. 1;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для швеллеров из углеродистой спокойной и низколегированной стали - указанным в табл. 2.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409"/>
        <w:gridCol w:w="362"/>
        <w:gridCol w:w="606"/>
        <w:gridCol w:w="454"/>
        <w:gridCol w:w="454"/>
        <w:gridCol w:w="1154"/>
        <w:gridCol w:w="731"/>
        <w:gridCol w:w="695"/>
        <w:gridCol w:w="554"/>
        <w:gridCol w:w="639"/>
        <w:gridCol w:w="731"/>
        <w:gridCol w:w="697"/>
        <w:gridCol w:w="515"/>
        <w:gridCol w:w="454"/>
        <w:gridCol w:w="623"/>
      </w:tblGrid>
      <w:tr w:rsidR="0077055C" w:rsidRPr="00836775" w:rsidTr="00DF69EE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R, 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более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n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n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поперечного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сечения, 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величины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77055C" w:rsidRPr="00836775" w:rsidTr="00DF69EE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 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у  у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77055C" w:rsidRPr="00836775" w:rsidTr="00DF69EE"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Ix,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Wx,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ix, 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129,89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284,56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127,90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167,57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198,65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305,80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164,66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158,77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355,32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479,22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440,48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319,89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376,50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489,16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835,14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14,99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977,51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1262,25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21,56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618,28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718,44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79,76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1096,52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16,84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1746,62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25,76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748,08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2304,37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230,44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1122,23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1413,50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1650,53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2811,72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3254,41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24,42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1495,61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3388,17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3131,48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208,77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4694,84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29,53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3948,93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4998,26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9179,84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305,12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6077,35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296,46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24,38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2</w:t>
      </w:r>
    </w:p>
    <w:tbl>
      <w:tblPr>
        <w:tblW w:w="820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"/>
        <w:gridCol w:w="412"/>
        <w:gridCol w:w="366"/>
        <w:gridCol w:w="612"/>
        <w:gridCol w:w="458"/>
        <w:gridCol w:w="552"/>
        <w:gridCol w:w="879"/>
        <w:gridCol w:w="833"/>
        <w:gridCol w:w="703"/>
        <w:gridCol w:w="560"/>
        <w:gridCol w:w="646"/>
        <w:gridCol w:w="739"/>
        <w:gridCol w:w="705"/>
        <w:gridCol w:w="521"/>
        <w:gridCol w:w="458"/>
        <w:gridCol w:w="630"/>
      </w:tblGrid>
      <w:tr w:rsidR="0077055C" w:rsidRPr="00836775" w:rsidTr="00DF69EE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R, 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более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n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n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попереч-ного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сечения, 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величины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77055C" w:rsidRPr="00836775" w:rsidTr="00DF69EE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 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у  у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</w:p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77055C" w:rsidRPr="00836775" w:rsidTr="00DF69EE"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Ix,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Wx,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ix, 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iу,</w:t>
            </w:r>
            <w:r w:rsidRPr="00836775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204,49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107,86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156,52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430,44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131,186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22,82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437,50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11,93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1245,16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21,36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699,18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11,68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79,15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15,80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1107,95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920,16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102,2,4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1074,96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188,90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25,33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1148,38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119,05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188,88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14,82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2611,10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1040,10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30,36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345,10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5,75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1134,22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16,17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2705,51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24,71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2770,46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22,30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3164,20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279,91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24,04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1488,90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11,89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2142,56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17,58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3072,29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20,41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38815,79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22,77</w:t>
            </w:r>
          </w:p>
        </w:tc>
      </w:tr>
      <w:tr w:rsidR="0077055C" w:rsidRPr="00836775" w:rsidTr="00DF69EE">
        <w:tc>
          <w:tcPr>
            <w:tcW w:w="0" w:type="auto"/>
            <w:gridSpan w:val="1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Примечание к табл. 1 и 2. Приведенные в таблицах площадь сечения и справочные величины вычислены по номинальным размерам. При вычислении массы 1 м профиля плотность стали принята равной 7,85 г/см</w:t>
            </w:r>
            <w:r w:rsidRPr="00836775">
              <w:rPr>
                <w:rFonts w:eastAsia="Times New Roman" w:cs="Arial"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(Измененная редакция, Изм. № 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4. Предельные отклонения высоты швеллера не должны превышать указанных в табл. 3.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3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Размеры, мм</w:t>
      </w:r>
    </w:p>
    <w:tbl>
      <w:tblPr>
        <w:tblW w:w="941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5"/>
        <w:gridCol w:w="1471"/>
        <w:gridCol w:w="1504"/>
        <w:gridCol w:w="1810"/>
        <w:gridCol w:w="1279"/>
      </w:tblGrid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Точность профилирования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Высота стенки швеллера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высокая при толщине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повышенная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обычная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50 включ.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±l,00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50 до 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100 » 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±</w:t>
            </w: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±2,50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5. Предельные отклонения ширины полки не должны превышать указанных в табл. 4.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4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Размеры, мм</w:t>
      </w:r>
    </w:p>
    <w:tbl>
      <w:tblPr>
        <w:tblW w:w="941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5"/>
        <w:gridCol w:w="1471"/>
        <w:gridCol w:w="1504"/>
        <w:gridCol w:w="1810"/>
        <w:gridCol w:w="1279"/>
      </w:tblGrid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Точность профилирования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Высота стенки швеллера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высокая при толщине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повышенная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обычная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50 включ.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50 до 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100 » 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±l,50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±3,00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4; 5. 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(Измененная редакция, Изм. № 1).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6. 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(Исключен, Изм. №2).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7. Предельные отклонения от угла 90° не должны превышать: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± 1°30¢ - при ширине полки до 100 мм;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± 1° - при ширине полки свыше 100 мм.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8. Швеллеры изготовляют длиной от 3 до 11,8 м: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мерной длины;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мерной длины с немерными отрезками в количестве не более 7 % массы партии;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кратной мерной длины;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кратной мерной длины с немерными отрезками в количестве не более 7 % массы партии;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немерной длины.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потребителя, швеллеры изготовляют длиной 12 м.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9. Предельные отклонения по длине швеллеров мерной и кратной мерной длины не должны превышать указанных в табл. 5.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5</w:t>
      </w:r>
    </w:p>
    <w:tbl>
      <w:tblPr>
        <w:tblW w:w="943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5615"/>
        <w:gridCol w:w="2162"/>
      </w:tblGrid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Длина, м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Предельные отклонения точности порезки, мм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 01.01.92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01.01.92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 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+40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6 » 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+40 и +5 на каждый метр длины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+80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(Измененная редакция, Изм. № 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10. Скручивание швеллеров вокруг продольной оси не должно превышать произведения 1° на длину швеллера в метрах, но не более 10°.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11. Кривизна швеллеров не должна превышать 0,1 % длины.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12. Волнистость полок швеллеров не должна превышать 2 мм на 1 м.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13. Контроль размеров поперечного сечения швеллеров, а также скручивания и кривизны проводят на расстоянии: при высокой точности профилирования - не менее 80 мм от торцов, повышенной - 100 мм и обычной - 200 мм.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lastRenderedPageBreak/>
        <w:t>(Измененная редакция, Изм. №2).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14. Высота швеллера определяется в плоскости на расстоянии, равном значению внешнего радиуса кривизны (</w:t>
      </w:r>
      <w:r w:rsidRPr="00836775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 + s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15. Марки стали и технические требования - по ГОСТ 11474-76.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(Введен дополнительно, Изм. № 2).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ИНФОРМАЦИОННЫЕ ДАННЫЕ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1.  РАЗРАБОТАН И ВНЕСЕН Министерством черной металлургии СССР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РАЗРАБОТЧИКИ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Н. М. Воронцов,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канд. техн. наук;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И С. Гринь,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канд. техн. наук; 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А.Б. Юрченко,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канд. техн. наук;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Г. В. Донец,</w:t>
      </w: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 канд. эконом. наук;</w:t>
      </w: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В. А. Ена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2.    УТВЕРЖДЕН И ВВЕДЕН В ДЕЙСТВИЕ Постановлением Государственного комитета СССР по стандартам от 14.02.83 №771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3.  ВЗАМЕН ГОСТ 8278-75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4.  ССЫЛОЧНЫЕ НОРМАТИВНО-ТЕХНИЧЕСКИЕ ДОКУМЕНТЫ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2"/>
        <w:gridCol w:w="1552"/>
      </w:tblGrid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Обозначение НТД, на который дана ссылка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77055C" w:rsidRPr="00836775" w:rsidTr="00DF69E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11474-76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77055C" w:rsidRPr="00836775" w:rsidRDefault="0077055C" w:rsidP="00495DED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836775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</w:tr>
    </w:tbl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5.    Срок действия продлен до 01.01.99 Постановлением Госстандарта СССР от 29.06.88 № 2500</w:t>
      </w:r>
    </w:p>
    <w:p w:rsidR="0077055C" w:rsidRPr="00836775" w:rsidRDefault="0077055C" w:rsidP="00495DED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836775">
        <w:rPr>
          <w:rFonts w:eastAsia="Times New Roman" w:cs="Arial"/>
          <w:color w:val="494949"/>
          <w:sz w:val="24"/>
          <w:szCs w:val="24"/>
          <w:lang w:eastAsia="ru-RU"/>
        </w:rPr>
        <w:t>6.    ПЕРЕИЗДАНИЕ с Изменениями № 1, 2, утвержденными в октябре 1987 г., нюне 1988 г. (ИУС 1-88, 11-88)</w:t>
      </w:r>
    </w:p>
    <w:p w:rsidR="004A461E" w:rsidRPr="00836775" w:rsidRDefault="004A461E" w:rsidP="00495DED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836775" w:rsidSect="00DF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A52D3"/>
    <w:rsid w:val="003C6BBB"/>
    <w:rsid w:val="00495DED"/>
    <w:rsid w:val="004A461E"/>
    <w:rsid w:val="0061580D"/>
    <w:rsid w:val="006F3DAC"/>
    <w:rsid w:val="0077055C"/>
    <w:rsid w:val="00836775"/>
    <w:rsid w:val="00A40ECA"/>
    <w:rsid w:val="00AA509F"/>
    <w:rsid w:val="00DF69EE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4304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2013-02-25T06:32:00Z</dcterms:created>
  <dcterms:modified xsi:type="dcterms:W3CDTF">2013-02-28T10:47:00Z</dcterms:modified>
</cp:coreProperties>
</file>