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8D5" w:rsidRPr="008566B4" w:rsidRDefault="00E038D5" w:rsidP="00E038D5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</w:pPr>
      <w:r w:rsidRPr="008566B4"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  <w:t>ГОСТ 9389-75 - ПРОВОЛОКА СТАЛЬНАЯ УГЛЕРОДИСТАЯ ПРУЖИННАЯ</w:t>
      </w:r>
    </w:p>
    <w:p w:rsidR="00E038D5" w:rsidRPr="008566B4" w:rsidRDefault="00E038D5" w:rsidP="00E038D5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8566B4">
        <w:rPr>
          <w:rFonts w:asciiTheme="minorHAnsi" w:hAnsiTheme="minorHAnsi" w:cs="Helvetica"/>
          <w:color w:val="000000" w:themeColor="text1"/>
        </w:rPr>
        <w:t>ГОСТ 9389-75 распространяется на стальную углеродистую холоднотянутую проволоку, применяемую для изготовления пружин, навиваемых в холодном состоянии и не подвергаемых закалке.</w:t>
      </w:r>
    </w:p>
    <w:p w:rsidR="00E038D5" w:rsidRPr="008566B4" w:rsidRDefault="00E038D5" w:rsidP="00E038D5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8566B4">
        <w:rPr>
          <w:rFonts w:asciiTheme="minorHAnsi" w:hAnsiTheme="minorHAnsi" w:cs="Helvetica"/>
          <w:color w:val="000000" w:themeColor="text1"/>
        </w:rPr>
        <w:t>Проволока изготовляется:</w:t>
      </w:r>
      <w:r w:rsidRPr="008566B4">
        <w:rPr>
          <w:rFonts w:asciiTheme="minorHAnsi" w:hAnsiTheme="minorHAnsi" w:cs="Helvetica"/>
          <w:color w:val="000000" w:themeColor="text1"/>
        </w:rPr>
        <w:br/>
        <w:t>– по механическим свойствам: марок</w:t>
      </w:r>
      <w:proofErr w:type="gramStart"/>
      <w:r w:rsidRPr="008566B4">
        <w:rPr>
          <w:rFonts w:asciiTheme="minorHAnsi" w:hAnsiTheme="minorHAnsi" w:cs="Helvetica"/>
          <w:color w:val="000000" w:themeColor="text1"/>
        </w:rPr>
        <w:t xml:space="preserve"> А</w:t>
      </w:r>
      <w:proofErr w:type="gramEnd"/>
      <w:r w:rsidRPr="008566B4">
        <w:rPr>
          <w:rFonts w:asciiTheme="minorHAnsi" w:hAnsiTheme="minorHAnsi" w:cs="Helvetica"/>
          <w:color w:val="000000" w:themeColor="text1"/>
        </w:rPr>
        <w:t>, Б, В, классов 1, 2, 2А, 3;</w:t>
      </w:r>
      <w:r w:rsidRPr="008566B4">
        <w:rPr>
          <w:rFonts w:asciiTheme="minorHAnsi" w:hAnsiTheme="minorHAnsi" w:cs="Helvetica"/>
          <w:color w:val="000000" w:themeColor="text1"/>
        </w:rPr>
        <w:br/>
        <w:t>– по точности изготовления: нормальной, повышенной (П).</w:t>
      </w:r>
    </w:p>
    <w:p w:rsidR="00E038D5" w:rsidRPr="008566B4" w:rsidRDefault="00E038D5" w:rsidP="00E038D5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8566B4">
        <w:rPr>
          <w:rFonts w:asciiTheme="minorHAnsi" w:hAnsiTheme="minorHAnsi" w:cs="Helvetica"/>
          <w:color w:val="000000" w:themeColor="text1"/>
        </w:rPr>
        <w:t>Проволока классов 1, 2, 3 изготовляется нормальной и повышенной точности, класса 2А – повышенной точности.</w:t>
      </w:r>
    </w:p>
    <w:p w:rsidR="00E038D5" w:rsidRPr="008566B4" w:rsidRDefault="00E038D5" w:rsidP="00E038D5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8566B4">
        <w:rPr>
          <w:rFonts w:asciiTheme="minorHAnsi" w:hAnsiTheme="minorHAnsi" w:cs="Helvetica"/>
          <w:color w:val="000000" w:themeColor="text1"/>
        </w:rPr>
        <w:t xml:space="preserve">Диаметр проволоки и предельные отклонения по нему должны соответствовать </w:t>
      </w:r>
      <w:proofErr w:type="gramStart"/>
      <w:r w:rsidRPr="008566B4">
        <w:rPr>
          <w:rFonts w:asciiTheme="minorHAnsi" w:hAnsiTheme="minorHAnsi" w:cs="Helvetica"/>
          <w:color w:val="000000" w:themeColor="text1"/>
        </w:rPr>
        <w:t>указанным</w:t>
      </w:r>
      <w:proofErr w:type="gramEnd"/>
      <w:r w:rsidRPr="008566B4">
        <w:rPr>
          <w:rFonts w:asciiTheme="minorHAnsi" w:hAnsiTheme="minorHAnsi" w:cs="Helvetica"/>
          <w:color w:val="000000" w:themeColor="text1"/>
        </w:rPr>
        <w:t xml:space="preserve"> в таблице 1.</w:t>
      </w:r>
    </w:p>
    <w:p w:rsidR="00E038D5" w:rsidRPr="008566B4" w:rsidRDefault="00E038D5" w:rsidP="00E038D5">
      <w:pPr>
        <w:pStyle w:val="2"/>
        <w:shd w:val="clear" w:color="auto" w:fill="FFFFFF"/>
        <w:spacing w:before="335"/>
        <w:rPr>
          <w:rFonts w:asciiTheme="minorHAnsi" w:hAnsiTheme="minorHAnsi" w:cs="Helvetica"/>
          <w:color w:val="000000" w:themeColor="text1"/>
          <w:sz w:val="24"/>
          <w:szCs w:val="24"/>
        </w:rPr>
      </w:pPr>
      <w:r w:rsidRPr="008566B4">
        <w:rPr>
          <w:rFonts w:asciiTheme="minorHAnsi" w:hAnsiTheme="minorHAnsi" w:cs="Helvetica"/>
          <w:color w:val="000000" w:themeColor="text1"/>
          <w:sz w:val="24"/>
          <w:szCs w:val="24"/>
        </w:rPr>
        <w:t>Таблица 1.</w:t>
      </w:r>
    </w:p>
    <w:tbl>
      <w:tblPr>
        <w:tblW w:w="1750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720"/>
        <w:gridCol w:w="1594"/>
        <w:gridCol w:w="1541"/>
        <w:gridCol w:w="1719"/>
        <w:gridCol w:w="1594"/>
        <w:gridCol w:w="1541"/>
      </w:tblGrid>
      <w:tr w:rsidR="00E038D5" w:rsidRPr="008566B4" w:rsidTr="00E038D5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Номинальный диаметр проволоки, </w:t>
            </w:r>
            <w:proofErr w:type="gramStart"/>
            <w:r w:rsidRPr="008566B4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Предельное отклонение по диаметру проволоки, </w:t>
            </w:r>
            <w:proofErr w:type="gramStart"/>
            <w:r w:rsidRPr="008566B4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Номинальный диаметр проволоки, </w:t>
            </w:r>
            <w:proofErr w:type="gramStart"/>
            <w:r w:rsidRPr="008566B4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Предельное отклонение по диаметру проволоки, </w:t>
            </w:r>
            <w:proofErr w:type="gramStart"/>
            <w:r w:rsidRPr="008566B4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</w:tr>
      <w:tr w:rsidR="00E038D5" w:rsidRPr="008566B4" w:rsidTr="00E038D5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повышенной точности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нормальной точности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повышенной точности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нормальной точности</w:t>
            </w:r>
          </w:p>
        </w:tc>
      </w:tr>
      <w:tr w:rsidR="00E038D5" w:rsidRPr="008566B4" w:rsidTr="00E038D5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t>0,14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0,15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0,16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0,18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0,20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0,22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0,25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0,28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0,30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0,32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0,36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0,40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spacing w:after="24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+0,005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-0,003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spacing w:after="24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+0,020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-0,015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0,90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1,00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1,10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1,20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1,30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1,40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1,50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1,60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1,70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1,80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1,90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spacing w:after="24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+0,015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-0,013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spacing w:after="24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±0,020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</w:p>
        </w:tc>
      </w:tr>
      <w:tr w:rsidR="00E038D5" w:rsidRPr="008566B4" w:rsidTr="00E038D5">
        <w:trPr>
          <w:trHeight w:val="537"/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spacing w:after="24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±0,020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E038D5" w:rsidRPr="008566B4" w:rsidTr="00E038D5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t>0,45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0,50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0,56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0,60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0,63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0,70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0,80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spacing w:after="24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±0,010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t>2,00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2,10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2,20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2,30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2,50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2,80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3,00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spacing w:after="24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±0,020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spacing w:after="24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±0,030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</w:p>
        </w:tc>
      </w:tr>
      <w:tr w:rsidR="00E038D5" w:rsidRPr="008566B4" w:rsidTr="00E038D5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3,20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3,50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3,60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4,00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4,20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4,50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5,00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5,60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spacing w:after="24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+0,030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-0,020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t>±0,030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t>6,00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6,30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6,50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6,70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7,00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spacing w:after="24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±0,030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spacing w:after="24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±0,050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</w:p>
        </w:tc>
      </w:tr>
      <w:tr w:rsidR="00E038D5" w:rsidRPr="008566B4" w:rsidTr="00E038D5">
        <w:trPr>
          <w:trHeight w:val="537"/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spacing w:after="24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±0,040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E038D5" w:rsidRPr="008566B4" w:rsidTr="00E038D5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t>7,50</w:t>
            </w: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br/>
              <w:t>8,00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038D5" w:rsidRPr="008566B4" w:rsidRDefault="00E038D5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566B4">
              <w:rPr>
                <w:rFonts w:cs="Arial"/>
                <w:color w:val="000000" w:themeColor="text1"/>
                <w:sz w:val="24"/>
                <w:szCs w:val="24"/>
              </w:rPr>
              <w:t>±0,040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038D5" w:rsidRPr="008566B4" w:rsidRDefault="00E038D5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</w:tbl>
    <w:p w:rsidR="00E038D5" w:rsidRPr="008566B4" w:rsidRDefault="00E038D5" w:rsidP="00E038D5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8566B4">
        <w:rPr>
          <w:rFonts w:asciiTheme="minorHAnsi" w:hAnsiTheme="minorHAnsi" w:cs="Helvetica"/>
          <w:color w:val="000000" w:themeColor="text1"/>
        </w:rPr>
        <w:t>Стальная углеродистая пружинная проволока должна изготавливаться в соответствии с требованиями ГОСТ 9389-75 по технологическому регламенту, из углеродистой стали по ГОСТ 1050, ГОСТ 14959, ГОСТ 1435 или по нормативно-технической документации, а также из сталей марок КТ-2 и 3К-7 и других сталей специальной выплавки, изготовляемых по нормативно-технической документации. При этом проволока класса 2А должна быть изготовлена из стали с массовой долей серы не более 0,030% и фосфора не более 0,035%. По требованию потребителя проволока изготовляется из стали определенной марки.</w:t>
      </w:r>
    </w:p>
    <w:p w:rsidR="004A461E" w:rsidRPr="008566B4" w:rsidRDefault="004A461E" w:rsidP="00E038D5">
      <w:pPr>
        <w:rPr>
          <w:color w:val="000000" w:themeColor="text1"/>
          <w:sz w:val="24"/>
          <w:szCs w:val="24"/>
        </w:rPr>
      </w:pPr>
    </w:p>
    <w:sectPr w:rsidR="004A461E" w:rsidRPr="008566B4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21D93"/>
    <w:rsid w:val="001449F5"/>
    <w:rsid w:val="0016597B"/>
    <w:rsid w:val="00184121"/>
    <w:rsid w:val="001A3D68"/>
    <w:rsid w:val="001B0173"/>
    <w:rsid w:val="002F5B68"/>
    <w:rsid w:val="003A74DD"/>
    <w:rsid w:val="003D69A9"/>
    <w:rsid w:val="00404630"/>
    <w:rsid w:val="0042053D"/>
    <w:rsid w:val="00464148"/>
    <w:rsid w:val="00464800"/>
    <w:rsid w:val="00496E17"/>
    <w:rsid w:val="004A461E"/>
    <w:rsid w:val="004B7889"/>
    <w:rsid w:val="00551DEF"/>
    <w:rsid w:val="00614AB5"/>
    <w:rsid w:val="00627D6E"/>
    <w:rsid w:val="006D13BE"/>
    <w:rsid w:val="00702E5E"/>
    <w:rsid w:val="007D15BB"/>
    <w:rsid w:val="007F1648"/>
    <w:rsid w:val="00837C07"/>
    <w:rsid w:val="008566B4"/>
    <w:rsid w:val="00865EDC"/>
    <w:rsid w:val="008721BB"/>
    <w:rsid w:val="00873D4D"/>
    <w:rsid w:val="00880458"/>
    <w:rsid w:val="00896912"/>
    <w:rsid w:val="008B25D8"/>
    <w:rsid w:val="009B0167"/>
    <w:rsid w:val="00A315FB"/>
    <w:rsid w:val="00A431D2"/>
    <w:rsid w:val="00AF53F6"/>
    <w:rsid w:val="00B403E2"/>
    <w:rsid w:val="00B862E5"/>
    <w:rsid w:val="00B91BB9"/>
    <w:rsid w:val="00BE5F3A"/>
    <w:rsid w:val="00C25926"/>
    <w:rsid w:val="00C54734"/>
    <w:rsid w:val="00CA44D2"/>
    <w:rsid w:val="00CB1259"/>
    <w:rsid w:val="00CF00B9"/>
    <w:rsid w:val="00D80C2B"/>
    <w:rsid w:val="00DC5E46"/>
    <w:rsid w:val="00DC6DBF"/>
    <w:rsid w:val="00E038D5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2013-02-25T08:47:00Z</dcterms:created>
  <dcterms:modified xsi:type="dcterms:W3CDTF">2013-02-28T07:39:00Z</dcterms:modified>
</cp:coreProperties>
</file>