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Times New Roman" w:hAnsi="Times New Roman" w:eastAsia="宋体"/>
          <w:b/>
          <w:color w:val="1F3A5F"/>
          <w:sz w:val="44"/>
        </w:rPr>
        <w:t>组员问题答复与评分口径说明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color w:val="5F5F5F"/>
          <w:sz w:val="20"/>
        </w:rPr>
        <w:t>RS-CalYOLO26x 项目 · 依据比赛评分方案 V1.6 · 2026年8月23日</w:t>
      </w:r>
    </w:p>
    <w:p>
      <w:pPr>
        <w:spacing w:after="200" w:line="288" w:lineRule="auto"/>
        <w:ind w:left="240" w:right="240"/>
      </w:pPr>
      <w:r>
        <w:rPr>
          <w:rFonts w:ascii="Times New Roman" w:hAnsi="Times New Roman" w:eastAsia="宋体"/>
          <w:b/>
          <w:color w:val="1F3A5F"/>
          <w:sz w:val="22"/>
        </w:rPr>
        <w:t>结论：比赛硬门槛采用三大类合并统计的 overall 指标，召回率不低于85%，FDR不高于20%。项目中出现的25%是早期资料遗留，已从正式评测口径中清理。</w:t>
      </w:r>
    </w:p>
    <w:p>
      <w:pPr>
        <w:pStyle w:val="Heading1"/>
        <w:keepNext/>
        <w:ind w:firstLine="0"/>
      </w:pPr>
      <w:r>
        <w:rPr>
          <w:rFonts w:ascii="Times New Roman" w:hAnsi="Times New Roman" w:eastAsia="宋体"/>
          <w:b/>
          <w:color w:val="2E74B5"/>
          <w:sz w:val="30"/>
        </w:rPr>
        <w:t>一、训练与模型信息</w:t>
      </w:r>
    </w:p>
    <w:p>
      <w:pPr>
        <w:spacing w:after="80" w:line="288" w:lineRule="auto"/>
        <w:ind w:firstLine="0" w:left="210"/>
      </w:pPr>
      <w:r>
        <w:rPr>
          <w:rFonts w:ascii="Times New Roman" w:hAnsi="Times New Roman" w:eastAsia="宋体"/>
          <w:b/>
          <w:color w:val="1F3A5F"/>
          <w:sz w:val="21"/>
        </w:rPr>
        <w:t>最终模型：</w:t>
      </w:r>
      <w:r>
        <w:rPr>
          <w:rFonts w:ascii="Times New Roman" w:hAnsi="Times New Roman" w:eastAsia="宋体"/>
          <w:b w:val="0"/>
          <w:sz w:val="21"/>
        </w:rPr>
        <w:t>runs/detect/yolo26x_hrsc_ft_e40/weights/best.pt（RS-CalYOLO26x-HRSC）。旧的 yolo26x_domain_finetune_lr1e4_e40 仅作为备份模型。层次化模型仍处于实验阶段，尚未替代最终模型。</w:t>
      </w:r>
    </w:p>
    <w:p>
      <w:pPr>
        <w:spacing w:after="80" w:line="288" w:lineRule="auto"/>
        <w:ind w:firstLine="0" w:left="210"/>
      </w:pPr>
      <w:r>
        <w:rPr>
          <w:rFonts w:ascii="Times New Roman" w:hAnsi="Times New Roman" w:eastAsia="宋体"/>
          <w:b/>
          <w:color w:val="1F3A5F"/>
          <w:sz w:val="21"/>
        </w:rPr>
        <w:t>训练设备：</w:t>
      </w:r>
      <w:r>
        <w:rPr>
          <w:rFonts w:ascii="Times New Roman" w:hAnsi="Times New Roman" w:eastAsia="宋体"/>
          <w:b w:val="0"/>
          <w:sz w:val="21"/>
        </w:rPr>
        <w:t>单张 NVIDIA GeForce RTX 3090，显存24 GB。</w:t>
      </w:r>
    </w:p>
    <w:p>
      <w:pPr>
        <w:spacing w:after="80" w:line="288" w:lineRule="auto"/>
        <w:ind w:firstLine="0" w:left="210"/>
      </w:pPr>
      <w:r>
        <w:rPr>
          <w:rFonts w:ascii="Times New Roman" w:hAnsi="Times New Roman" w:eastAsia="宋体"/>
          <w:b/>
          <w:color w:val="1F3A5F"/>
          <w:sz w:val="21"/>
        </w:rPr>
        <w:t>训练过程：</w:t>
      </w:r>
      <w:r>
        <w:rPr>
          <w:rFonts w:ascii="Times New Roman" w:hAnsi="Times New Roman" w:eastAsia="宋体"/>
          <w:b w:val="0"/>
          <w:sz w:val="21"/>
        </w:rPr>
        <w:t>第一阶段从官方 YOLO26x 权重开始进行120 epoch基础训练，输入尺寸1024×1024、batch=8；第二阶段进行40 epoch领域微调，batch=4，AdamW学习率1e-4，并关闭AMP和Mosaic。</w:t>
      </w:r>
    </w:p>
    <w:p>
      <w:pPr>
        <w:spacing w:after="80" w:line="288" w:lineRule="auto"/>
        <w:ind w:firstLine="0" w:left="210"/>
      </w:pPr>
      <w:r>
        <w:rPr>
          <w:rFonts w:ascii="Times New Roman" w:hAnsi="Times New Roman" w:eastAsia="宋体"/>
          <w:b/>
          <w:color w:val="1F3A5F"/>
          <w:sz w:val="21"/>
        </w:rPr>
        <w:t>训练时长：</w:t>
      </w:r>
      <w:r>
        <w:rPr>
          <w:rFonts w:ascii="Times New Roman" w:hAnsi="Times New Roman" w:eastAsia="宋体"/>
          <w:b w:val="0"/>
          <w:sz w:val="21"/>
        </w:rPr>
        <w:t>40 epoch微调约5.5小时，但应以服务器日志为准。第一阶段总时长及两阶段峰值显存没有留下可核验记录，报告中应写“待实测”，不能估算。若只填写一个训练峰值显存，应填写两阶段实测值中的较大值。</w:t>
      </w:r>
    </w:p>
    <w:p>
      <w:pPr>
        <w:spacing w:after="80" w:line="288" w:lineRule="auto"/>
        <w:ind w:firstLine="0" w:left="210"/>
      </w:pPr>
      <w:r>
        <w:rPr>
          <w:rFonts w:ascii="Times New Roman" w:hAnsi="Times New Roman" w:eastAsia="宋体"/>
          <w:b/>
          <w:color w:val="1F3A5F"/>
          <w:sz w:val="21"/>
        </w:rPr>
        <w:t>模型规模：</w:t>
      </w:r>
      <w:r>
        <w:rPr>
          <w:rFonts w:ascii="Times New Roman" w:hAnsi="Times New Roman" w:eastAsia="宋体"/>
          <w:b w:val="0"/>
          <w:sz w:val="21"/>
        </w:rPr>
        <w:t>约58.99M参数、约209.5 GFLOPs，best.pt约113 MiB。</w:t>
      </w:r>
    </w:p>
    <w:p>
      <w:pPr>
        <w:pStyle w:val="Heading1"/>
        <w:keepNext/>
        <w:ind w:firstLine="0"/>
      </w:pPr>
      <w:r>
        <w:rPr>
          <w:rFonts w:ascii="Times New Roman" w:hAnsi="Times New Roman" w:eastAsia="宋体"/>
          <w:b/>
          <w:color w:val="2E74B5"/>
          <w:sz w:val="30"/>
        </w:rPr>
        <w:t>二、推理方式与资源</w:t>
      </w:r>
    </w:p>
    <w:p>
      <w:pPr>
        <w:spacing w:after="80" w:line="288" w:lineRule="auto"/>
        <w:ind w:firstLine="0" w:left="210"/>
      </w:pPr>
      <w:r>
        <w:rPr>
          <w:rFonts w:ascii="Times New Roman" w:hAnsi="Times New Roman" w:eastAsia="宋体"/>
          <w:b/>
          <w:color w:val="1F3A5F"/>
          <w:sz w:val="21"/>
        </w:rPr>
        <w:t>运行环境：</w:t>
      </w:r>
      <w:r>
        <w:rPr>
          <w:rFonts w:ascii="Times New Roman" w:hAnsi="Times New Roman" w:eastAsia="宋体"/>
          <w:b w:val="0"/>
          <w:sz w:val="21"/>
        </w:rPr>
        <w:t>当前正式结果基于单张RTX 3090、PyTorch .pt和FP32。项目尚未完成ONNX、TensorRT、FP16或INT8的正式精度与速度验证，因此不能填写相关加速倍数。</w:t>
      </w:r>
    </w:p>
    <w:p>
      <w:pPr>
        <w:spacing w:after="80" w:line="288" w:lineRule="auto"/>
        <w:ind w:firstLine="0" w:left="210"/>
      </w:pPr>
      <w:r>
        <w:rPr>
          <w:rFonts w:ascii="Times New Roman" w:hAnsi="Times New Roman" w:eastAsia="宋体"/>
          <w:b/>
          <w:color w:val="1F3A5F"/>
          <w:sz w:val="21"/>
        </w:rPr>
        <w:t>大图处理：</w:t>
      </w:r>
      <w:r>
        <w:rPr>
          <w:rFonts w:ascii="Times New Roman" w:hAnsi="Times New Roman" w:eastAsia="宋体"/>
          <w:b w:val="0"/>
          <w:sz w:val="21"/>
        </w:rPr>
        <w:t>10000×10000图像采用800×800滑窗，stride=800，共形成13×13=169个图像块；输入模型前缩放/补边到1024×1024，随后完成坐标回映射、块内NMS、全局类别感知NMS和逐类阈值筛选。推理batch=1。</w:t>
      </w:r>
    </w:p>
    <w:p>
      <w:pPr>
        <w:spacing w:after="80" w:line="288" w:lineRule="auto"/>
        <w:ind w:firstLine="0" w:left="210"/>
      </w:pPr>
      <w:r>
        <w:rPr>
          <w:rFonts w:ascii="Times New Roman" w:hAnsi="Times New Roman" w:eastAsia="宋体"/>
          <w:b/>
          <w:color w:val="1F3A5F"/>
          <w:sz w:val="21"/>
        </w:rPr>
        <w:t>时间指标：</w:t>
      </w:r>
      <w:r>
        <w:rPr>
          <w:rFonts w:ascii="Times New Roman" w:hAnsi="Times New Roman" w:eastAsia="宋体"/>
          <w:b w:val="0"/>
          <w:sz w:val="21"/>
        </w:rPr>
        <w:t>服务器正式记录的平均时间约7.30-7.45秒，最大值小于8秒。计时从图片读取完成后开始，到最终检测结果输出为止，包含切片推理和后处理，不包含磁盘读取。</w:t>
      </w:r>
    </w:p>
    <w:p>
      <w:pPr>
        <w:spacing w:after="80" w:line="288" w:lineRule="auto"/>
        <w:ind w:firstLine="0" w:left="210"/>
      </w:pPr>
      <w:r>
        <w:rPr>
          <w:rFonts w:ascii="Times New Roman" w:hAnsi="Times New Roman" w:eastAsia="宋体"/>
          <w:b/>
          <w:color w:val="1F3A5F"/>
          <w:sz w:val="21"/>
        </w:rPr>
        <w:t>待补数据：</w:t>
      </w:r>
      <w:r>
        <w:rPr>
          <w:rFonts w:ascii="Times New Roman" w:hAnsi="Times New Roman" w:eastAsia="宋体"/>
          <w:b w:val="0"/>
          <w:sz w:val="21"/>
        </w:rPr>
        <w:t>推理峰值显存和CPU内存占用尚无完整实测记录，应在同一服务器、同一冻结配置下补测后填写。</w:t>
      </w:r>
    </w:p>
    <w:p>
      <w:pPr>
        <w:pStyle w:val="Heading1"/>
        <w:keepNext/>
        <w:ind w:firstLine="0"/>
      </w:pPr>
      <w:r>
        <w:rPr>
          <w:rFonts w:ascii="Times New Roman" w:hAnsi="Times New Roman" w:eastAsia="宋体"/>
          <w:b/>
          <w:color w:val="2E74B5"/>
          <w:sz w:val="30"/>
        </w:rPr>
        <w:t>三、FDR为什么必须按20%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评分方案V1.6明确规定：硬门槛阶段将船舶、飞机和车辆合并统计，预测类别在匹配时被忽略；综合召回率应不低于85%，综合虚警率FDR应不高于20%，其中FDR=FP/(TP+FP)。因此准确表述是“FDR≤20%”，刚好20%也视为满足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通过硬门槛后，赛事还会分别公布船舶、飞机、车辆的召回率和FDR，并结合小类等权宏平均形成排名指标。这些分类宏指标影响排名，但不能代替合并统计的overall硬门槛。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此前代码中的25%来自早期口头问答和历史实验文档。它一度被错误地用于判断三大类宏平均结果是否“达标”。本轮已经将融合评测默认值统一为0.20，并将宏平均脚本改为“排名审计”，不再输出硬门槛通过结论。历史宏平均FDR 20.80%只能用于分析分类排名，不能按25%线宣称硬门槛通过。</w:t>
      </w:r>
    </w:p>
    <w:p>
      <w:pPr>
        <w:pStyle w:val="Heading1"/>
        <w:keepNext/>
        <w:ind w:firstLine="0"/>
      </w:pPr>
      <w:r>
        <w:rPr>
          <w:rFonts w:ascii="Times New Roman" w:hAnsi="Times New Roman" w:eastAsia="宋体"/>
          <w:b/>
          <w:color w:val="2E74B5"/>
          <w:sz w:val="30"/>
        </w:rPr>
        <w:t>四、报告第6.3节建议表述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针对10000×10000像素遥感大图，系统采用800×800像素滑窗进行分块，并对右侧和下侧边界进行补齐，共形成13×13个图像块。各图像块经缩放和补边后以1024×1024分辨率输入改进YOLO26x模型，检测结果映射回原始大图坐标系，并依次执行块内非极大值抑制、全图类别感知非极大值抑制及逐类别置信度筛选，最终输出统一格式的检测结果。推理过程按图像块顺序执行，并采用batch=1控制峰值显存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当前系统已在单张NVIDIA RTX 3090、PyTorch FP32环境下完成验证，单张大图平均处理时间约为7.30-7.45秒，最大处理时间小于8秒。当前版本尚未完成ONNX、TensorRT和国产GPU/NPU平台的正式实测。后续将依据主办方统一接口封装Docker镜像，输入只需提供图片，系统无需外部告知场景类别即可自动完成滑窗检测与结果汇总。国产平台适配、量化加速和在线服务接口在完成实测前应写为后续实施方案，不应表述为已完成功能。</w:t>
      </w:r>
    </w:p>
    <w:p>
      <w:pPr>
        <w:pStyle w:val="Heading1"/>
        <w:keepNext/>
        <w:ind w:firstLine="0"/>
      </w:pPr>
      <w:r>
        <w:rPr>
          <w:rFonts w:ascii="Times New Roman" w:hAnsi="Times New Roman" w:eastAsia="宋体"/>
          <w:b/>
          <w:color w:val="2E74B5"/>
          <w:sz w:val="30"/>
        </w:rPr>
        <w:t>五、组内统一口径</w:t>
      </w:r>
    </w:p>
    <w:p>
      <w:pPr>
        <w:spacing w:after="80" w:line="288" w:lineRule="auto"/>
        <w:ind w:firstLine="0" w:left="210"/>
      </w:pPr>
      <w:r>
        <w:rPr>
          <w:rFonts w:ascii="Times New Roman" w:hAnsi="Times New Roman" w:eastAsia="宋体"/>
          <w:b/>
          <w:color w:val="1F3A5F"/>
          <w:sz w:val="21"/>
        </w:rPr>
        <w:t>硬门槛：</w:t>
      </w:r>
      <w:r>
        <w:rPr>
          <w:rFonts w:ascii="Times New Roman" w:hAnsi="Times New Roman" w:eastAsia="宋体"/>
          <w:b w:val="0"/>
          <w:sz w:val="21"/>
        </w:rPr>
        <w:t>official_overall recall≥85%，official_overall FDR≤20%，单张10000×10000图像处理时间≤20秒。</w:t>
      </w:r>
    </w:p>
    <w:p>
      <w:pPr>
        <w:spacing w:after="80" w:line="288" w:lineRule="auto"/>
        <w:ind w:firstLine="0" w:left="210"/>
      </w:pPr>
      <w:r>
        <w:rPr>
          <w:rFonts w:ascii="Times New Roman" w:hAnsi="Times New Roman" w:eastAsia="宋体"/>
          <w:b/>
          <w:color w:val="1F3A5F"/>
          <w:sz w:val="21"/>
        </w:rPr>
        <w:t>排名审计：</w:t>
      </w:r>
      <w:r>
        <w:rPr>
          <w:rFonts w:ascii="Times New Roman" w:hAnsi="Times New Roman" w:eastAsia="宋体"/>
          <w:b w:val="0"/>
          <w:sz w:val="21"/>
        </w:rPr>
        <w:t>船舶、飞机、车辆及其小类宏平均指标；不得拿宏平均结果代替overall硬门槛。</w:t>
      </w:r>
    </w:p>
    <w:p>
      <w:pPr>
        <w:spacing w:after="80" w:line="288" w:lineRule="auto"/>
        <w:ind w:firstLine="0" w:left="210"/>
      </w:pPr>
      <w:r>
        <w:rPr>
          <w:rFonts w:ascii="Times New Roman" w:hAnsi="Times New Roman" w:eastAsia="宋体"/>
          <w:b/>
          <w:color w:val="1F3A5F"/>
          <w:sz w:val="21"/>
        </w:rPr>
        <w:t>最终方案：</w:t>
      </w:r>
      <w:r>
        <w:rPr>
          <w:rFonts w:ascii="Times New Roman" w:hAnsi="Times New Roman" w:eastAsia="宋体"/>
          <w:b w:val="0"/>
          <w:sz w:val="21"/>
        </w:rPr>
        <w:t>RS-CalYOLO26x-HRSC为当前正式主模型，其他模型均按备份或实验状态描述。</w:t>
      </w:r>
    </w:p>
    <w:p>
      <w:pPr>
        <w:spacing w:after="80" w:line="288" w:lineRule="auto"/>
        <w:ind w:firstLine="0" w:left="210"/>
      </w:pPr>
      <w:r>
        <w:rPr>
          <w:rFonts w:ascii="Times New Roman" w:hAnsi="Times New Roman" w:eastAsia="宋体"/>
          <w:b/>
          <w:color w:val="1F3A5F"/>
          <w:sz w:val="21"/>
        </w:rPr>
        <w:t>数据纪律：</w:t>
      </w:r>
      <w:r>
        <w:rPr>
          <w:rFonts w:ascii="Times New Roman" w:hAnsi="Times New Roman" w:eastAsia="宋体"/>
          <w:b w:val="0"/>
          <w:sz w:val="21"/>
        </w:rPr>
        <w:t>未保存或未实测的训练时长、峰值显存、CPU内存和部署加速比统一标记为“待实测”，不得编造。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5F5F5F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5F5F5F"/>
        <w:sz w:val="18"/>
      </w:rPr>
      <w:t>RS-CalYOLO26x 组内答疑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