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B5A499">
      <w:pPr>
        <w:spacing w:before="160"/>
        <w:jc w:val="right"/>
        <w:rPr>
          <w:rFonts w:hint="eastAsia"/>
          <w:sz w:val="28"/>
          <w:szCs w:val="24"/>
          <w:lang w:eastAsia="zh-CN"/>
        </w:rPr>
      </w:pPr>
      <w:r>
        <w:rPr>
          <w:sz w:val="28"/>
          <w:szCs w:val="24"/>
          <w:lang w:eastAsia="zh-CN"/>
        </w:rPr>
        <w:t>题目编号：XH-202625</w:t>
      </w:r>
    </w:p>
    <w:p w14:paraId="619C8111">
      <w:pPr>
        <w:spacing w:before="440"/>
        <w:jc w:val="center"/>
        <w:rPr>
          <w:rFonts w:hint="eastAsia" w:ascii="黑体" w:hAnsi="黑体" w:eastAsia="黑体"/>
          <w:b/>
          <w:sz w:val="36"/>
          <w:lang w:eastAsia="zh-CN"/>
        </w:rPr>
      </w:pPr>
    </w:p>
    <w:p w14:paraId="7B5BF811">
      <w:pPr>
        <w:spacing w:before="440"/>
        <w:rPr>
          <w:rFonts w:hint="eastAsia" w:ascii="黑体" w:hAnsi="黑体" w:eastAsia="黑体"/>
          <w:b/>
          <w:sz w:val="13"/>
          <w:szCs w:val="6"/>
          <w:lang w:eastAsia="zh-CN"/>
        </w:rPr>
      </w:pPr>
    </w:p>
    <w:p w14:paraId="201F3AF7">
      <w:pPr>
        <w:spacing w:before="440"/>
        <w:jc w:val="center"/>
        <w:rPr>
          <w:rFonts w:hint="eastAsia"/>
          <w:sz w:val="48"/>
          <w:szCs w:val="48"/>
          <w:lang w:eastAsia="zh-CN"/>
        </w:rPr>
      </w:pPr>
      <w:r>
        <w:rPr>
          <w:rFonts w:hint="eastAsia" w:ascii="黑体" w:hAnsi="黑体" w:eastAsia="黑体"/>
          <w:b/>
          <w:sz w:val="48"/>
          <w:szCs w:val="48"/>
          <w:lang w:eastAsia="zh-CN"/>
        </w:rPr>
        <w:t>“</w:t>
      </w:r>
      <w:r>
        <w:rPr>
          <w:rFonts w:ascii="黑体" w:hAnsi="黑体" w:eastAsia="黑体"/>
          <w:b/>
          <w:sz w:val="48"/>
          <w:szCs w:val="48"/>
          <w:lang w:eastAsia="zh-CN"/>
        </w:rPr>
        <w:t>基于不均衡小样本学习的光学遥感卫星陆上目标检测识别</w:t>
      </w:r>
      <w:r>
        <w:rPr>
          <w:rFonts w:hint="eastAsia" w:ascii="黑体" w:hAnsi="黑体" w:eastAsia="黑体"/>
          <w:b/>
          <w:sz w:val="48"/>
          <w:szCs w:val="48"/>
          <w:lang w:eastAsia="zh-CN"/>
        </w:rPr>
        <w:t>”研究报告</w:t>
      </w:r>
    </w:p>
    <w:p w14:paraId="27D7B0A1">
      <w:pPr>
        <w:rPr>
          <w:rFonts w:hint="eastAsia"/>
          <w:lang w:eastAsia="zh-CN"/>
        </w:rPr>
      </w:pPr>
    </w:p>
    <w:p w14:paraId="209F541F">
      <w:pPr>
        <w:rPr>
          <w:rFonts w:hint="eastAsia"/>
          <w:lang w:eastAsia="zh-CN"/>
        </w:rPr>
      </w:pPr>
    </w:p>
    <w:p w14:paraId="6E9A4535">
      <w:pPr>
        <w:rPr>
          <w:rFonts w:hint="eastAsia"/>
          <w:lang w:eastAsia="zh-CN"/>
        </w:rPr>
      </w:pPr>
    </w:p>
    <w:p w14:paraId="5FC4C061">
      <w:pPr>
        <w:rPr>
          <w:rFonts w:hint="eastAsia"/>
          <w:lang w:eastAsia="zh-CN"/>
        </w:rPr>
      </w:pPr>
    </w:p>
    <w:p w14:paraId="2779BD3F">
      <w:pPr>
        <w:rPr>
          <w:rFonts w:hint="eastAsia"/>
          <w:lang w:eastAsia="zh-CN"/>
        </w:rPr>
      </w:pPr>
    </w:p>
    <w:p w14:paraId="22CC3EB6">
      <w:pPr>
        <w:rPr>
          <w:rFonts w:hint="eastAsia"/>
          <w:lang w:eastAsia="zh-CN"/>
        </w:rPr>
      </w:pPr>
    </w:p>
    <w:p w14:paraId="47D2A418">
      <w:pPr>
        <w:rPr>
          <w:rFonts w:hint="eastAsia"/>
          <w:lang w:eastAsia="zh-CN"/>
        </w:rPr>
      </w:pPr>
    </w:p>
    <w:p w14:paraId="0B4C74E7">
      <w:pPr>
        <w:rPr>
          <w:rFonts w:hint="eastAsia"/>
          <w:lang w:eastAsia="zh-CN"/>
        </w:rPr>
      </w:pPr>
    </w:p>
    <w:p w14:paraId="67B2E6BD">
      <w:pPr>
        <w:rPr>
          <w:rFonts w:hint="eastAsia"/>
          <w:b/>
          <w:bCs/>
          <w:sz w:val="28"/>
          <w:szCs w:val="28"/>
          <w:u w:val="thick"/>
          <w:lang w:eastAsia="zh-CN"/>
        </w:rPr>
      </w:pPr>
      <w:r>
        <w:rPr>
          <w:b/>
          <w:bCs/>
          <w:sz w:val="28"/>
          <w:szCs w:val="28"/>
          <w:lang w:eastAsia="zh-CN"/>
        </w:rPr>
        <w:t>团队名称</w:t>
      </w:r>
      <w:r>
        <w:rPr>
          <w:rFonts w:hint="eastAsia"/>
          <w:b/>
          <w:bCs/>
          <w:sz w:val="28"/>
          <w:szCs w:val="28"/>
          <w:lang w:eastAsia="zh-CN"/>
        </w:rPr>
        <w:t>：</w:t>
      </w:r>
      <w:r>
        <w:rPr>
          <w:rFonts w:hint="eastAsia"/>
          <w:b/>
          <w:bCs/>
          <w:sz w:val="28"/>
          <w:szCs w:val="28"/>
          <w:u w:val="thick"/>
          <w:lang w:eastAsia="zh-CN"/>
        </w:rPr>
        <w:t xml:space="preserve">                                                  </w:t>
      </w:r>
    </w:p>
    <w:p w14:paraId="3FE951B6">
      <w:pPr>
        <w:rPr>
          <w:rFonts w:hint="eastAsia"/>
          <w:b/>
          <w:bCs/>
          <w:sz w:val="28"/>
          <w:szCs w:val="28"/>
          <w:u w:val="thick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参赛单位：</w:t>
      </w:r>
      <w:r>
        <w:rPr>
          <w:rFonts w:hint="eastAsia"/>
          <w:b/>
          <w:bCs/>
          <w:sz w:val="28"/>
          <w:szCs w:val="28"/>
          <w:u w:val="thick"/>
          <w:lang w:eastAsia="zh-CN"/>
        </w:rPr>
        <w:t xml:space="preserve">                                                 </w:t>
      </w:r>
    </w:p>
    <w:p w14:paraId="328F1A63">
      <w:pPr>
        <w:rPr>
          <w:rFonts w:hint="eastAsia"/>
          <w:b/>
          <w:bCs/>
          <w:sz w:val="28"/>
          <w:szCs w:val="28"/>
          <w:u w:val="thick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团队成员：</w:t>
      </w:r>
      <w:r>
        <w:rPr>
          <w:rFonts w:hint="eastAsia"/>
          <w:b/>
          <w:bCs/>
          <w:sz w:val="28"/>
          <w:szCs w:val="28"/>
          <w:u w:val="thick"/>
          <w:lang w:eastAsia="zh-CN"/>
        </w:rPr>
        <w:t xml:space="preserve">                                                 </w:t>
      </w:r>
    </w:p>
    <w:p w14:paraId="51B1003A">
      <w:pPr>
        <w:rPr>
          <w:rFonts w:hint="eastAsia"/>
          <w:b/>
          <w:bCs/>
          <w:sz w:val="28"/>
          <w:szCs w:val="28"/>
          <w:u w:val="thick"/>
          <w:lang w:eastAsia="zh-CN"/>
        </w:rPr>
      </w:pPr>
      <w:r>
        <w:rPr>
          <w:b/>
          <w:bCs/>
          <w:sz w:val="28"/>
          <w:szCs w:val="28"/>
          <w:lang w:eastAsia="zh-CN"/>
        </w:rPr>
        <w:t>指导</w:t>
      </w:r>
      <w:r>
        <w:rPr>
          <w:rFonts w:hint="eastAsia"/>
          <w:b/>
          <w:bCs/>
          <w:sz w:val="28"/>
          <w:szCs w:val="28"/>
          <w:lang w:eastAsia="zh-CN"/>
        </w:rPr>
        <w:t>老师：</w:t>
      </w:r>
      <w:r>
        <w:rPr>
          <w:rFonts w:hint="eastAsia"/>
          <w:b/>
          <w:bCs/>
          <w:sz w:val="28"/>
          <w:szCs w:val="28"/>
          <w:u w:val="thick"/>
          <w:lang w:eastAsia="zh-CN"/>
        </w:rPr>
        <w:t xml:space="preserve">                                                 </w:t>
      </w:r>
    </w:p>
    <w:p w14:paraId="1298A2D1">
      <w:pPr>
        <w:jc w:val="center"/>
        <w:rPr>
          <w:rFonts w:hint="eastAsia"/>
          <w:lang w:eastAsia="zh-CN"/>
        </w:rPr>
      </w:pPr>
      <w:r>
        <w:rPr>
          <w:rFonts w:hint="eastAsia"/>
          <w:b/>
          <w:bCs/>
          <w:sz w:val="28"/>
          <w:szCs w:val="28"/>
          <w:lang w:eastAsia="zh-CN"/>
        </w:rPr>
        <w:t>XXXX年XX月XX日</w:t>
      </w:r>
    </w:p>
    <w:p w14:paraId="27435B31">
      <w:pPr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5E0E34B0">
      <w:pPr>
        <w:pStyle w:val="40"/>
        <w:jc w:val="center"/>
        <w:rPr>
          <w:rFonts w:hint="eastAsia"/>
          <w:lang w:eastAsia="zh-CN"/>
        </w:rPr>
        <w:keepNext/>
      </w:pPr>
      <w:r>
        <w:rPr>
          <w:lang w:eastAsia="zh-CN"/>
        </w:rPr>
        <w:t>填写说明</w:t>
      </w:r>
    </w:p>
    <w:p w14:paraId="33F7B797">
      <w:pPr>
        <w:pStyle w:val="41"/>
        <w:ind w:firstLine="420" w:firstLineChars="200"/>
        <w:jc w:val="both"/>
        <w:rPr>
          <w:rFonts w:hint="eastAsia"/>
          <w:i w:val="0"/>
          <w:iCs/>
          <w:lang w:eastAsia="zh-CN"/>
        </w:rPr>
        <w:keepNext/>
      </w:pPr>
      <w:r>
        <w:rPr>
          <w:i w:val="0"/>
          <w:iCs/>
          <w:lang w:eastAsia="zh-CN"/>
        </w:rPr>
        <w:t>本模板用于参赛团队撰写研究报告。</w:t>
      </w:r>
      <w:r>
        <w:rPr>
          <w:rFonts w:hint="eastAsia"/>
          <w:i w:val="0"/>
          <w:iCs/>
          <w:lang w:eastAsia="zh-CN"/>
        </w:rPr>
        <w:t>各参赛团队</w:t>
      </w:r>
      <w:r>
        <w:rPr>
          <w:i w:val="0"/>
          <w:iCs/>
          <w:lang w:eastAsia="zh-CN"/>
        </w:rPr>
        <w:t>应完整说明技术路线、创新点、训练策略、推理流程以及实验结果。</w:t>
      </w:r>
      <w:r>
        <w:rPr>
          <w:rFonts w:hint="eastAsia"/>
          <w:i w:val="0"/>
          <w:iCs/>
          <w:lang w:eastAsia="zh-CN"/>
        </w:rPr>
        <w:t>蓝色</w:t>
      </w:r>
      <w:r>
        <w:rPr>
          <w:i w:val="0"/>
          <w:iCs/>
          <w:lang w:eastAsia="zh-CN"/>
        </w:rPr>
        <w:t>文字为填写提示，正式提交前请删除。</w:t>
      </w:r>
      <w:r>
        <w:rPr>
          <w:rFonts w:hint="eastAsia"/>
          <w:i w:val="0"/>
          <w:iCs/>
          <w:lang w:eastAsia="zh-CN"/>
        </w:rPr>
        <w:t>各级标题行间距字体等参照模板执行。正文中文字体采用宋体小四号字体，英文采用</w:t>
      </w:r>
      <w:r>
        <w:rPr>
          <w:i w:val="0"/>
          <w:iCs/>
          <w:lang w:eastAsia="zh-CN"/>
        </w:rPr>
        <w:t>Times New Roman</w:t>
      </w:r>
      <w:r>
        <w:rPr>
          <w:rFonts w:hint="eastAsia"/>
          <w:i w:val="0"/>
          <w:iCs/>
          <w:lang w:eastAsia="zh-CN"/>
        </w:rPr>
        <w:t>小四号字体，1.25倍行间距，首行缩进2字符，段前和断后的间距均为0榜。本文档和附录B要求的</w:t>
      </w:r>
      <w:r>
        <w:rPr>
          <w:i w:val="0"/>
          <w:iCs/>
          <w:lang w:eastAsia="zh-CN"/>
        </w:rPr>
        <w:t>文件</w:t>
      </w:r>
      <w:r>
        <w:rPr>
          <w:rFonts w:hint="eastAsia"/>
          <w:i w:val="0"/>
          <w:iCs/>
          <w:lang w:eastAsia="zh-CN"/>
        </w:rPr>
        <w:t>一并打包，压缩包的名字命名为“</w:t>
      </w:r>
      <w:r>
        <w:rPr>
          <w:i w:val="0"/>
          <w:iCs/>
          <w:lang w:eastAsia="zh-CN"/>
        </w:rPr>
        <w:t>团队名称-队长名称</w:t>
      </w:r>
      <w:r>
        <w:rPr>
          <w:rFonts w:hint="eastAsia"/>
          <w:i w:val="0"/>
          <w:iCs/>
          <w:lang w:eastAsia="zh-CN"/>
        </w:rPr>
        <w:t>.zip”命名，压缩包内的其他文件以“XX-</w:t>
      </w:r>
      <w:r>
        <w:rPr>
          <w:i w:val="0"/>
          <w:iCs/>
          <w:lang w:eastAsia="zh-CN"/>
        </w:rPr>
        <w:t>团队名称-队长名称</w:t>
      </w:r>
      <w:r>
        <w:rPr>
          <w:rFonts w:hint="eastAsia"/>
          <w:i w:val="0"/>
          <w:iCs/>
          <w:lang w:eastAsia="zh-CN"/>
        </w:rPr>
        <w:t>-对应的文件后缀”命名。例如本文档可以命名为“技术报告-团队A-张三.docx”。</w:t>
      </w:r>
    </w:p>
    <w:p w14:paraId="6FE0CBF3">
      <w:pPr>
        <w:rPr>
          <w:rFonts w:hint="eastAsia"/>
          <w:lang w:eastAsia="zh-CN"/>
        </w:rPr>
      </w:pPr>
    </w:p>
    <w:p w14:paraId="08A6CC25">
      <w:pPr>
        <w:rPr>
          <w:rFonts w:hint="eastAsia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 w14:paraId="14750220">
      <w:pPr>
        <w:rPr>
          <w:rFonts w:hint="eastAsia"/>
          <w:lang w:eastAsia="zh-CN"/>
        </w:rPr>
      </w:pPr>
    </w:p>
    <w:p w14:paraId="3EAA7312">
      <w:pPr>
        <w:pStyle w:val="40"/>
        <w:spacing w:before="280" w:after="120"/>
        <w:jc w:val="center"/>
        <w:rPr>
          <w:rFonts w:hint="eastAsia"/>
          <w:lang w:eastAsia="zh-CN"/>
        </w:rPr>
        <w:keepNext/>
      </w:pPr>
      <w:r>
        <w:rPr>
          <w:rFonts w:hint="eastAsia"/>
          <w:lang w:eastAsia="zh-CN"/>
        </w:rPr>
        <w:t>目  录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刘运杰</w:t>
      </w:r>
    </w:p>
    <w:p w14:paraId="1F1298A1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  <w:keepNext/>
      </w:pP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正文中文字体采用宋体小四号字体，英文采用</w:t>
      </w: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Times New Roman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小四号字体，1.25倍行间距，首行缩进2字符，段前和断后的间距均为0榜。</w:t>
      </w:r>
    </w:p>
    <w:p w14:paraId="51C3689C">
      <w:pPr>
        <w:pStyle w:val="40"/>
        <w:spacing w:before="280" w:after="120"/>
        <w:jc w:val="center"/>
        <w:rPr>
          <w:rFonts w:hint="default"/>
          <w:lang w:val="en-US" w:eastAsia="zh-CN"/>
        </w:rPr>
        <w:keepNext/>
      </w:pPr>
      <w:r>
        <w:rPr>
          <w:lang w:eastAsia="zh-CN"/>
        </w:rPr>
        <w:t>摘  要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刘运杰</w:t>
      </w:r>
    </w:p>
    <w:p w14:paraId="50911551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概述研究背景、核心问题、所提出的方法、主要实验结果和创新点。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8</w:t>
      </w: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00字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以内</w:t>
      </w: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。</w:t>
      </w:r>
    </w:p>
    <w:p w14:paraId="193F3DDC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正文中文字体采用宋体小四号字体，英文采用Times New Roman小四号字体，1.25倍行间距，首行缩进2字符。</w:t>
      </w:r>
    </w:p>
    <w:p w14:paraId="640B7EF8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按 "背景→问题→方法→结果→创新" 五句话结构：</w:t>
      </w:r>
    </w:p>
    <w:p w14:paraId="67709B18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1. 背景：光学遥感卫星时敏目标检测的重要性（1 句）</w:t>
      </w:r>
    </w:p>
    <w:p w14:paraId="1938921C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2. 问题：样本稀缺 + 类别不均衡 + 小目标 + 复杂背景导致现有方法漏检率高、泛化差（1-2 句）</w:t>
      </w:r>
    </w:p>
    <w:p w14:paraId="14758556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3. 方法：提出了什么方法（核心模型 + 训练策略 + 推理流程，2-3 句）</w:t>
      </w:r>
    </w:p>
    <w:p w14:paraId="48D6F400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4. 结果：在发榜单位测试集上的召回率、虚警率、推理时间具体数值（必须达标：召回≥85%、虚警≤20%、10000×10000≤20 秒）（1-2 句）</w:t>
      </w:r>
    </w:p>
    <w:p w14:paraId="44E3EEDB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5. 创新：2-4 个核心创新点一句话概括（1 句）</w:t>
      </w:r>
    </w:p>
    <w:p w14:paraId="49A80900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关键词：3-5 个，小样本学习、类别不均衡、光学遥感、目标检测、时敏目标</w:t>
      </w:r>
    </w:p>
    <w:p w14:paraId="714BB3A8">
      <w:pPr>
        <w:pStyle w:val="41"/>
        <w:spacing w:after="160" w:line="300" w:lineRule="auto"/>
        <w:ind w:firstLine="480" w:firstLineChars="200"/>
        <w:rPr>
          <w:rFonts w:hint="eastAsia"/>
          <w:sz w:val="24"/>
          <w:szCs w:val="24"/>
          <w:lang w:eastAsia="zh-CN"/>
        </w:rPr>
        <w:keepNext/>
      </w:pPr>
    </w:p>
    <w:p w14:paraId="68EBACCC">
      <w:pPr>
        <w:spacing w:line="300" w:lineRule="auto"/>
        <w:ind w:firstLine="482" w:firstLineChars="200"/>
        <w:rPr>
          <w:rFonts w:hint="eastAsia"/>
          <w:iCs/>
          <w:color w:val="0070C0"/>
          <w:szCs w:val="24"/>
          <w:lang w:eastAsia="zh-CN"/>
        </w:rPr>
      </w:pPr>
      <w:r>
        <w:rPr>
          <w:b/>
          <w:szCs w:val="24"/>
          <w:lang w:eastAsia="zh-CN"/>
        </w:rPr>
        <w:t>关键词：</w:t>
      </w:r>
      <w:r>
        <w:rPr>
          <w:rFonts w:hint="eastAsia"/>
          <w:iCs/>
          <w:color w:val="0070C0"/>
          <w:szCs w:val="24"/>
          <w:lang w:eastAsia="zh-CN"/>
        </w:rPr>
        <w:t>3-5个关键词</w:t>
      </w:r>
    </w:p>
    <w:p w14:paraId="256B7E07">
      <w:pPr>
        <w:pStyle w:val="40"/>
        <w:spacing w:before="280" w:after="120"/>
        <w:rPr>
          <w:rFonts w:hint="eastAsia"/>
          <w:lang w:eastAsia="zh-CN"/>
        </w:rPr>
        <w:sectPr>
          <w:footerReference r:id="rId5" w:type="default"/>
          <w:pgSz w:w="12240" w:h="15840"/>
          <w:pgMar w:top="1417" w:right="1587" w:bottom="1417" w:left="1587" w:header="720" w:footer="720" w:gutter="0"/>
          <w:cols w:space="720" w:num="1"/>
          <w:docGrid w:linePitch="360" w:charSpace="0"/>
        </w:sectPr>
        <w:keepNext/>
      </w:pPr>
    </w:p>
    <w:p w14:paraId="34510F49">
      <w:pPr>
        <w:pStyle w:val="40"/>
        <w:spacing w:before="280" w:after="120"/>
        <w:outlineLvl w:val="0"/>
        <w:rPr>
          <w:rFonts w:hint="default"/>
          <w:lang w:val="en-US" w:eastAsia="zh-CN"/>
        </w:rPr>
        <w:keepNext/>
      </w:pPr>
      <w:r>
        <w:rPr>
          <w:lang w:eastAsia="zh-CN"/>
        </w:rPr>
        <w:t>1 研究背景与问题分析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刘运杰</w:t>
      </w:r>
    </w:p>
    <w:p w14:paraId="24C4430E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1.1 研究背景与应用需求</w:t>
      </w:r>
    </w:p>
    <w:p w14:paraId="184D3A45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说明光学遥感卫星陆上时敏目标检测识别的应用背景、业务需求及研究意义。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正文字体采用宋体小四号字体，1.25倍行间距，首行缩进2字符（下同）。</w:t>
      </w:r>
    </w:p>
    <w:p w14:paraId="17BAC5E7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val="en-US" w:eastAsia="zh-CN"/>
        </w:rPr>
        <w:t>此外，</w:t>
      </w: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增加国内外研究现状与产业</w:t>
      </w: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val="en-US" w:eastAsia="zh-CN"/>
        </w:rPr>
        <w:t>领域</w:t>
      </w: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现状，</w:t>
      </w: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val="en-US" w:eastAsia="zh-CN"/>
        </w:rPr>
        <w:t>引用含金量高的参考文献，表明相关领域的研究进展；</w:t>
      </w:r>
      <w:r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t>分三条线综述：①小样本目标检测进展；②长尾 / 类别不均衡检测进展；③光学遥感影像目标检测的特殊性与现有方案。每条线都要点出现有方法的不足，自然引出本项目的切入点</w:t>
      </w:r>
    </w:p>
    <w:p w14:paraId="0B419E6B">
      <w:pPr>
        <w:pStyle w:val="14"/>
        <w:keepNext w:val="0"/>
        <w:keepLines w:val="0"/>
        <w:widowControl/>
        <w:suppressLineNumbers w:val="0"/>
        <w:rPr>
          <w:color w:val="FF0000"/>
        </w:rPr>
      </w:pPr>
      <w:r>
        <w:rPr>
          <w:rStyle w:val="19"/>
          <w:color w:val="FF0000"/>
        </w:rPr>
        <w:t>1.1</w:t>
      </w:r>
      <w:r>
        <w:rPr>
          <w:rStyle w:val="19"/>
          <w:rFonts w:hint="eastAsia"/>
          <w:color w:val="FF0000"/>
          <w:lang w:val="en-US" w:eastAsia="zh-CN"/>
        </w:rPr>
        <w:t>.1</w:t>
      </w:r>
      <w:r>
        <w:rPr>
          <w:rStyle w:val="19"/>
          <w:color w:val="FF0000"/>
        </w:rPr>
        <w:t xml:space="preserve"> 研究背景与应用需求</w:t>
      </w:r>
    </w:p>
    <w:p w14:paraId="7B76D4A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光学遥感卫星的国家战略地位（大覆盖、周期性重访、高分辨率）</w:t>
      </w:r>
    </w:p>
    <w:p w14:paraId="5A7D6A1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时敏目标（突发性、短时存在）检测的业务需求：重点区域态势感知、突发事件评估、应急响应</w:t>
      </w:r>
    </w:p>
    <w:p w14:paraId="098A8DF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新卫星 / 新区域投入初期的痛点：标注数据少、类别不均衡，需要快速构建模型</w:t>
      </w:r>
    </w:p>
    <w:p w14:paraId="73D9AE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引用发榜单位（上海卫星工程研究所）的业务场景，体现 "站在企业角度解题"</w:t>
      </w:r>
    </w:p>
    <w:p w14:paraId="7CFAECB8">
      <w:pPr>
        <w:pStyle w:val="14"/>
        <w:keepNext w:val="0"/>
        <w:keepLines w:val="0"/>
        <w:widowControl/>
        <w:suppressLineNumbers w:val="0"/>
        <w:rPr>
          <w:color w:val="FF0000"/>
        </w:rPr>
      </w:pPr>
      <w:r>
        <w:rPr>
          <w:rStyle w:val="19"/>
          <w:color w:val="FF0000"/>
        </w:rPr>
        <w:t>1.</w:t>
      </w:r>
      <w:r>
        <w:rPr>
          <w:rStyle w:val="19"/>
          <w:rFonts w:hint="eastAsia"/>
          <w:color w:val="FF0000"/>
          <w:lang w:val="en-US" w:eastAsia="zh-CN"/>
        </w:rPr>
        <w:t>1.2</w:t>
      </w:r>
      <w:r>
        <w:rPr>
          <w:rStyle w:val="19"/>
          <w:color w:val="FF0000"/>
        </w:rPr>
        <w:t xml:space="preserve"> 国内外研究现状与产业现状</w:t>
      </w:r>
      <w:r>
        <w:rPr>
          <w:color w:val="FF0000"/>
        </w:rPr>
        <w:t>（新增）</w:t>
      </w:r>
    </w:p>
    <w:p w14:paraId="5FB4230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小样本目标检测</w:t>
      </w:r>
      <w:r>
        <w:rPr>
          <w:color w:val="FF0000"/>
        </w:rPr>
        <w:t>：基于度量学习、基于数据增强、基于元学习、基于预训练的各流派代表方法及不足</w:t>
      </w:r>
    </w:p>
    <w:p w14:paraId="398D1F8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长尾 / 类别不均衡检测</w:t>
      </w:r>
      <w:r>
        <w:rPr>
          <w:color w:val="FF0000"/>
        </w:rPr>
        <w:t>：重采样、损失重加权（如 Focal Loss、Equalized Loss）、解耦训练、迁移学习等方法及不足</w:t>
      </w:r>
    </w:p>
    <w:p w14:paraId="61F48E5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光学遥感目标检测</w:t>
      </w:r>
      <w:r>
        <w:rPr>
          <w:color w:val="FF0000"/>
        </w:rPr>
        <w:t>：遥感影像大幅面、多尺度、旋转目标、复杂背景的特殊性；现有遥感检测方法（如 YOLO 系列遥感变体、R3Det、S2ANet 等）在小样本 + 不均衡条件下的局限</w:t>
      </w:r>
    </w:p>
    <w:p w14:paraId="0E4D26F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产业现状</w:t>
      </w:r>
      <w:r>
        <w:rPr>
          <w:color w:val="FF0000"/>
        </w:rPr>
        <w:t>：国内外遥感卫星智能解译的产业进展，发榜单位及同类单位的技术需求</w:t>
      </w:r>
    </w:p>
    <w:p w14:paraId="5D9B73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每个小节末尾都要点出 "现有方法未充分考虑 XX，难以直接满足本赛题需求"，为你的方法铺路</w:t>
      </w:r>
    </w:p>
    <w:p w14:paraId="726804D7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FF0000"/>
          <w:sz w:val="24"/>
          <w:szCs w:val="24"/>
          <w:lang w:eastAsia="zh-CN"/>
        </w:rPr>
        <w:keepNext/>
      </w:pPr>
    </w:p>
    <w:p w14:paraId="1B24C9A6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1.2 任务特点与主要难点</w:t>
      </w:r>
    </w:p>
    <w:p w14:paraId="7732E5B8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例如，</w:t>
      </w: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样本稀缺、类别分布不均衡、小目标等问题。</w:t>
      </w:r>
    </w:p>
    <w:p w14:paraId="54F2245E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Style w:val="19"/>
          <w:rFonts w:ascii="Times New Roman" w:hAnsi="Times New Roman" w:cs="Times New Roman"/>
          <w:b w:val="0"/>
          <w:bCs/>
          <w:color w:val="FF0000"/>
        </w:rPr>
      </w:pPr>
      <w:r>
        <w:rPr>
          <w:rStyle w:val="19"/>
          <w:rFonts w:ascii="Times New Roman" w:hAnsi="Times New Roman" w:cs="Times New Roman"/>
          <w:b w:val="0"/>
          <w:bCs/>
          <w:color w:val="FF0000"/>
        </w:rPr>
        <w:t>逐条深入分析，不要只列标题：</w:t>
      </w:r>
    </w:p>
    <w:p w14:paraId="75BF2D5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Style w:val="19"/>
          <w:rFonts w:ascii="Times New Roman" w:hAnsi="Times New Roman" w:cs="Times New Roman"/>
          <w:b w:val="0"/>
          <w:bCs/>
          <w:color w:val="FF0000"/>
        </w:rPr>
      </w:pPr>
      <w:r>
        <w:rPr>
          <w:rStyle w:val="19"/>
          <w:rFonts w:ascii="Times New Roman" w:hAnsi="Times New Roman" w:cs="Times New Roman"/>
          <w:b/>
          <w:bCs w:val="0"/>
          <w:color w:val="FF0000"/>
        </w:rPr>
        <w:t>样本稀缺：</w:t>
      </w:r>
      <w:r>
        <w:rPr>
          <w:rStyle w:val="19"/>
          <w:rFonts w:ascii="Times New Roman" w:hAnsi="Times New Roman" w:cs="Times New Roman"/>
          <w:b w:val="0"/>
          <w:bCs/>
          <w:color w:val="FF0000"/>
        </w:rPr>
        <w:t>时敏目标出现周期短、获取困难，标注数据规模有限</w:t>
      </w:r>
    </w:p>
    <w:p w14:paraId="1822913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Style w:val="19"/>
          <w:rFonts w:ascii="Times New Roman" w:hAnsi="Times New Roman" w:cs="Times New Roman"/>
          <w:b w:val="0"/>
          <w:bCs/>
          <w:color w:val="FF0000"/>
        </w:rPr>
      </w:pPr>
      <w:r>
        <w:rPr>
          <w:rStyle w:val="19"/>
          <w:rFonts w:ascii="Times New Roman" w:hAnsi="Times New Roman" w:cs="Times New Roman"/>
          <w:b/>
          <w:bCs w:val="0"/>
          <w:color w:val="FF0000"/>
        </w:rPr>
        <w:t>类别高度不均衡：</w:t>
      </w:r>
      <w:r>
        <w:rPr>
          <w:rStyle w:val="19"/>
          <w:rFonts w:ascii="Times New Roman" w:hAnsi="Times New Roman" w:cs="Times New Roman"/>
          <w:b w:val="0"/>
          <w:bCs/>
          <w:color w:val="FF0000"/>
        </w:rPr>
        <w:t>舰船（驱护舰 / 航母 / 两栖船 / 民船）、飞机、车辆三大类及子类的数量差异巨大</w:t>
      </w:r>
    </w:p>
    <w:p w14:paraId="7D5ACD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Style w:val="19"/>
          <w:rFonts w:ascii="Times New Roman" w:hAnsi="Times New Roman" w:cs="Times New Roman"/>
          <w:b w:val="0"/>
          <w:bCs/>
          <w:color w:val="FF0000"/>
        </w:rPr>
      </w:pPr>
      <w:r>
        <w:rPr>
          <w:rStyle w:val="19"/>
          <w:rFonts w:ascii="Times New Roman" w:hAnsi="Times New Roman" w:cs="Times New Roman"/>
          <w:b/>
          <w:bCs w:val="0"/>
          <w:color w:val="FF0000"/>
        </w:rPr>
        <w:t>小目标与多尺度：</w:t>
      </w:r>
      <w:r>
        <w:rPr>
          <w:rStyle w:val="19"/>
          <w:rFonts w:ascii="Times New Roman" w:hAnsi="Times New Roman" w:cs="Times New Roman"/>
          <w:b w:val="0"/>
          <w:bCs/>
          <w:color w:val="FF0000"/>
        </w:rPr>
        <w:t>遥感影像中目标尺度小，10000×10000 大幅面中目标占比低</w:t>
      </w:r>
    </w:p>
    <w:p w14:paraId="6B52476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Style w:val="19"/>
          <w:rFonts w:ascii="Times New Roman" w:hAnsi="Times New Roman" w:cs="Times New Roman"/>
          <w:b w:val="0"/>
          <w:bCs/>
          <w:color w:val="FF0000"/>
        </w:rPr>
      </w:pPr>
      <w:r>
        <w:rPr>
          <w:rStyle w:val="19"/>
          <w:rFonts w:ascii="Times New Roman" w:hAnsi="Times New Roman" w:cs="Times New Roman"/>
          <w:b w:val="0"/>
          <w:bCs/>
          <w:color w:val="FF0000"/>
        </w:rPr>
        <w:t>复杂背景干扰：光照变化、阴影、云雾遮挡、跨轨道成像差异</w:t>
      </w:r>
    </w:p>
    <w:p w14:paraId="141B024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Style w:val="19"/>
          <w:rFonts w:ascii="Times New Roman" w:hAnsi="Times New Roman" w:cs="Times New Roman"/>
          <w:b w:val="0"/>
          <w:bCs/>
          <w:color w:val="FF0000"/>
        </w:rPr>
      </w:pPr>
      <w:r>
        <w:rPr>
          <w:rStyle w:val="19"/>
          <w:rFonts w:ascii="Times New Roman" w:hAnsi="Times New Roman" w:cs="Times New Roman"/>
          <w:b/>
          <w:bCs w:val="0"/>
          <w:color w:val="FF0000"/>
        </w:rPr>
        <w:t>大幅面推理效率：</w:t>
      </w:r>
      <w:r>
        <w:rPr>
          <w:rStyle w:val="19"/>
          <w:rFonts w:ascii="Times New Roman" w:hAnsi="Times New Roman" w:cs="Times New Roman"/>
          <w:b w:val="0"/>
          <w:bCs/>
          <w:color w:val="FF0000"/>
        </w:rPr>
        <w:t>单幅 10000×10000 像素需≤20 秒，对滑窗 / 拼接策略要求高</w:t>
      </w:r>
    </w:p>
    <w:p w14:paraId="68B2461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rStyle w:val="19"/>
          <w:rFonts w:ascii="Times New Roman" w:hAnsi="Times New Roman" w:cs="Times New Roman"/>
          <w:b w:val="0"/>
          <w:bCs/>
          <w:color w:val="FF0000"/>
        </w:rPr>
      </w:pPr>
      <w:r>
        <w:rPr>
          <w:rStyle w:val="19"/>
          <w:rFonts w:ascii="Times New Roman" w:hAnsi="Times New Roman" w:cs="Times New Roman"/>
          <w:b w:val="0"/>
          <w:bCs/>
          <w:color w:val="FF0000"/>
        </w:rPr>
        <w:t>配典型样本示例图（不同类别、不同尺度、不同复杂背景）</w:t>
      </w:r>
    </w:p>
    <w:p w14:paraId="28F3CC4C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</w:p>
    <w:p w14:paraId="0A7A5ADB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1.3 研究目标</w:t>
      </w:r>
    </w:p>
    <w:p w14:paraId="180BBB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关键问题</w:t>
      </w:r>
      <w:r>
        <w:rPr>
          <w:color w:val="FF0000"/>
        </w:rPr>
        <w:t>：在不均衡小样本条件下，如何同时保证高召回、低虚警、快推理</w:t>
      </w:r>
    </w:p>
    <w:p w14:paraId="5C6A73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总体目标</w:t>
      </w:r>
      <w:r>
        <w:rPr>
          <w:color w:val="FF0000"/>
        </w:rPr>
        <w:t>：构建一个 XX 方法，实现 XX</w:t>
      </w:r>
    </w:p>
    <w:p w14:paraId="7D88C27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性能目标</w:t>
      </w:r>
      <w:r>
        <w:rPr>
          <w:color w:val="FF0000"/>
        </w:rPr>
        <w:t xml:space="preserve">（必须写具体数值，对标刚性指标）： </w:t>
      </w:r>
    </w:p>
    <w:p w14:paraId="7F433194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>整体召回率≥85%（争取更高，如 90%+）</w:t>
      </w:r>
    </w:p>
    <w:p w14:paraId="7651D6B8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>虚警率≤20%（争取更低，如 15% 以下）</w:t>
      </w:r>
    </w:p>
    <w:p w14:paraId="1A399F9C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>单幅 10000×10000 推理时间≤20 秒（RTX3090 / 同等国产 GPU）</w:t>
      </w:r>
    </w:p>
    <w:p w14:paraId="0C853C6E">
      <w:pPr>
        <w:keepNext w:val="0"/>
        <w:keepLines w:val="0"/>
        <w:widowControl/>
        <w:numPr>
          <w:ilvl w:val="1"/>
          <w:numId w:val="3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>分类别（船 / 飞机 / 车辆）各自的目标</w:t>
      </w:r>
    </w:p>
    <w:p w14:paraId="257627E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Style w:val="19"/>
          <w:color w:val="FF0000"/>
        </w:rPr>
        <w:t>工程目标</w:t>
      </w:r>
      <w:r>
        <w:rPr>
          <w:color w:val="FF0000"/>
        </w:rPr>
        <w:t>：代码可复现、可部署、适配国产 GPU/NPU</w:t>
      </w:r>
    </w:p>
    <w:p w14:paraId="6FCCD1F7">
      <w:pPr>
        <w:pStyle w:val="40"/>
        <w:spacing w:before="280" w:after="120"/>
        <w:outlineLvl w:val="0"/>
        <w:rPr>
          <w:rFonts w:hint="default"/>
          <w:lang w:val="en-US" w:eastAsia="zh-CN"/>
        </w:rPr>
        <w:keepNext/>
      </w:pPr>
      <w:r>
        <w:rPr>
          <w:lang w:eastAsia="zh-CN"/>
        </w:rPr>
        <w:t>2 数据集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韩国良</w:t>
      </w:r>
    </w:p>
    <w:p w14:paraId="0D3D360B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介绍训练集的基本情况，包括影像规模、类别、标注形式和数据划分方式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、</w:t>
      </w: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类别数量分布、目标尺度分布、样本不均衡程度及典型复杂场景。可配统计图或示例图。</w:t>
      </w:r>
    </w:p>
    <w:p w14:paraId="3F3FF3C9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360" w:leftChars="0"/>
        <w:rPr>
          <w:rFonts w:hint="default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详写：</w:t>
      </w:r>
    </w:p>
    <w:p w14:paraId="11ACA0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数据来源</w:t>
      </w:r>
      <w:r>
        <w:rPr>
          <w:color w:val="FF0000"/>
        </w:rPr>
        <w:t>：发榜单位提供的训练 / 验证数据集（注明获取方式）</w:t>
      </w:r>
    </w:p>
    <w:p w14:paraId="11744104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影像规模</w:t>
      </w:r>
      <w:r>
        <w:rPr>
          <w:color w:val="FF0000"/>
        </w:rPr>
        <w:t>：总影像数量、总像素量、分辨率范围</w:t>
      </w:r>
    </w:p>
    <w:p w14:paraId="041322D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类别体系</w:t>
      </w:r>
      <w:r>
        <w:rPr>
          <w:color w:val="FF0000"/>
        </w:rPr>
        <w:t>：三大类（舰船 / 飞机 / 车辆）及各自子类（驱护舰、航母、两栖船、民船等），列出每类的标注框数量</w:t>
      </w:r>
    </w:p>
    <w:p w14:paraId="75BFCAE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标注形式</w:t>
      </w:r>
      <w:r>
        <w:rPr>
          <w:color w:val="FF0000"/>
        </w:rPr>
        <w:t>：COCO 格式 / 旋转框 / 水平框，标注字段说明</w:t>
      </w:r>
    </w:p>
    <w:p w14:paraId="1FFBB83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数据划分</w:t>
      </w:r>
      <w:r>
        <w:rPr>
          <w:color w:val="FF0000"/>
        </w:rPr>
        <w:t>：训练集 / 验证集划分比例（验证集≥30%，模板明确要求），划分策略（随机 / 按场景 / 按轨道，说明理由）</w:t>
      </w:r>
    </w:p>
    <w:p w14:paraId="51198A5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类别分布统计</w:t>
      </w:r>
      <w:r>
        <w:rPr>
          <w:color w:val="FF0000"/>
        </w:rPr>
        <w:t>：配柱状图 / 饼图，量化不均衡程度（如最多类与最少类的数量比）</w:t>
      </w:r>
    </w:p>
    <w:p w14:paraId="0A2BD52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目标尺度分布</w:t>
      </w:r>
      <w:r>
        <w:rPr>
          <w:color w:val="FF0000"/>
        </w:rPr>
        <w:t>：配统计图，说明小目标（&lt;32×32）、中目标、大目标的占比</w:t>
      </w:r>
    </w:p>
    <w:p w14:paraId="40AC40C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典型复杂场景示例</w:t>
      </w:r>
      <w:r>
        <w:rPr>
          <w:color w:val="FF0000"/>
        </w:rPr>
        <w:t>：云雾遮挡、阴影、小目标密集、跨轨道差异等，配示例图</w:t>
      </w:r>
    </w:p>
    <w:p w14:paraId="47387C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Style w:val="19"/>
          <w:color w:val="FF0000"/>
        </w:rPr>
        <w:t>数据预处理</w:t>
      </w:r>
      <w:r>
        <w:rPr>
          <w:color w:val="FF0000"/>
        </w:rPr>
        <w:t>：归一化、增强策略（如果在训练章详述，这里可简要提及）</w:t>
      </w:r>
    </w:p>
    <w:p w14:paraId="7AC0E7C6">
      <w:pPr>
        <w:pStyle w:val="40"/>
        <w:spacing w:before="280" w:after="120"/>
        <w:outlineLvl w:val="0"/>
        <w:rPr>
          <w:rFonts w:hint="eastAsia"/>
          <w:lang w:eastAsia="zh-CN"/>
        </w:rPr>
        <w:keepNext/>
      </w:pPr>
      <w:r>
        <w:rPr>
          <w:lang w:eastAsia="zh-CN"/>
        </w:rPr>
        <w:t>3 总体技术方案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朱顺龙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3.1 方案定位、约束与证据边界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明确总体技术方案的设计输入、章节职责和事实层级，避免把候选模块或探索实验写成最终成果。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任务约束：</w:t>
      </w:r>
      <w:r>
        <w:rPr>
          <w:rFonts w:eastAsia="宋体" w:ascii="Times New Roman" w:hAnsi="Times New Roman"/>
          <w:sz w:val="24"/>
          <w:szCs w:val="24"/>
          <w:color w:val="FF0000"/>
        </w:rPr>
        <w:t>围绕25小类检测、未知场景自动判断、10000×10000大图处理和统一接口组织技术路线。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证据分层：</w:t>
      </w:r>
      <w:r>
        <w:rPr>
          <w:rFonts w:eastAsia="宋体" w:ascii="Times New Roman" w:hAnsi="Times New Roman"/>
          <w:sz w:val="24"/>
          <w:szCs w:val="24"/>
          <w:color w:val="FF0000"/>
        </w:rPr>
        <w:t>分别标注最终晋级方案、已验证但未晋级方案、正在探索实验；三类内容不得混写。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事实优先级：</w:t>
      </w:r>
      <w:r>
        <w:rPr>
          <w:rFonts w:eastAsia="宋体" w:ascii="Times New Roman" w:hAnsi="Times New Roman"/>
          <w:sz w:val="24"/>
          <w:szCs w:val="24"/>
          <w:color w:val="FF0000"/>
        </w:rPr>
        <w:t>服务器最新实测优先，其次为新日期专项文档、DELIVERY.md和历史存档；冲突数据保留来源说明。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章节边界：</w:t>
      </w:r>
      <w:r>
        <w:rPr>
          <w:rFonts w:eastAsia="宋体" w:ascii="Times New Roman" w:hAnsi="Times New Roman"/>
          <w:sz w:val="24"/>
          <w:szCs w:val="24"/>
          <w:color w:val="FF0000"/>
        </w:rPr>
        <w:t>本章说明方法机制与冻结流程；详细性能数字交由第4章，工程资产与部署细节交由第6章。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晋级原则：</w:t>
      </w:r>
      <w:r>
        <w:rPr>
          <w:rFonts w:eastAsia="宋体" w:ascii="Times New Roman" w:hAnsi="Times New Roman"/>
          <w:sz w:val="24"/>
          <w:szCs w:val="24"/>
          <w:color w:val="FF0000"/>
        </w:rPr>
        <w:t>候选方案只有在相同三协议、相同阈值冻结和相同时延口径下形成Pareto改进后才能替换主方案。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3.2 总体技术路线与系统架构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以“评分对齐—数据治理—模型训练—大图推理—统一评测—方案冻结”为主线构建完整科研与工程闭环。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总体流程图：</w:t>
      </w:r>
      <w:r>
        <w:rPr>
          <w:rFonts w:eastAsia="宋体" w:ascii="Times New Roman" w:hAnsi="Times New Roman"/>
          <w:sz w:val="24"/>
          <w:szCs w:val="24"/>
          <w:color w:val="FF0000"/>
        </w:rPr>
        <w:t>原始数据→标注审计与修正→FSC/HRSC针对性增强→YOLO26x训练与领域微调→滑窗推理→全图NMS→类别阈值→25类输出。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输入输出：</w:t>
      </w:r>
      <w:r>
        <w:rPr>
          <w:rFonts w:eastAsia="宋体" w:ascii="Times New Roman" w:hAnsi="Times New Roman"/>
          <w:sz w:val="24"/>
          <w:szCs w:val="24"/>
          <w:color w:val="FF0000"/>
        </w:rPr>
        <w:t>说明各模块输入、输出、依赖资产和关键参数，尤其区分训练数据、代理评测大图和正式推理图片。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核心闭环：</w:t>
      </w:r>
      <w:r>
        <w:rPr>
          <w:rFonts w:eastAsia="宋体" w:ascii="Times New Roman" w:hAnsi="Times New Roman"/>
          <w:sz w:val="24"/>
          <w:szCs w:val="24"/>
          <w:color w:val="FF0000"/>
        </w:rPr>
        <w:t>先依据评分方案定位风险，再通过数据审计与误差归因提出改进，最后用统一协议消融和部署约束决定是否晋级。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自动化要求：</w:t>
      </w:r>
      <w:r>
        <w:rPr>
          <w:rFonts w:eastAsia="宋体" w:ascii="Times New Roman" w:hAnsi="Times New Roman"/>
          <w:sz w:val="24"/>
          <w:szCs w:val="24"/>
          <w:color w:val="FF0000"/>
        </w:rPr>
        <w:t>推理阶段只接收图片，不能依赖文件名、人工场景标签或人工选择船舶/飞机/车辆模型。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图表建议：</w:t>
      </w:r>
      <w:r>
        <w:rPr>
          <w:rFonts w:eastAsia="宋体" w:ascii="Times New Roman" w:hAnsi="Times New Roman"/>
          <w:sz w:val="24"/>
          <w:szCs w:val="24"/>
          <w:color w:val="FF0000"/>
        </w:rPr>
        <w:t>图3-1总体技术路线图；用实线表示最终链路、虚线表示实验分支，并设置清晰图例。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3.3 数据治理、针对性增强与训练基础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说明正式模型性能提升如何由数据质量治理、稀缺类补强和可复现训练流程共同支撑。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数据关系：</w:t>
      </w:r>
      <w:r>
        <w:rPr>
          <w:rFonts w:eastAsia="宋体" w:ascii="Times New Roman" w:hAnsi="Times New Roman"/>
          <w:sz w:val="24"/>
          <w:szCs w:val="24"/>
          <w:color w:val="FF0000"/>
        </w:rPr>
        <w:t>准确描述data_v2现有train/val及由val派生的data_big_v1三协议；不得未经证据声称随机划分。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标注审计：</w:t>
      </w:r>
      <w:r>
        <w:rPr>
          <w:rFonts w:eastAsia="宋体" w:ascii="Times New Roman" w:hAnsi="Times New Roman"/>
          <w:sz w:val="24"/>
          <w:szCs w:val="24"/>
          <w:color w:val="FF0000"/>
        </w:rPr>
        <w:t>交代模型初筛、GPT视觉复核、人工纪律、修改日志和9处已落实修改，强调只改高置信问题。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FSC风格增强：</w:t>
      </w:r>
      <w:r>
        <w:rPr>
          <w:rFonts w:eastAsia="宋体" w:ascii="Times New Roman" w:hAnsi="Times New Roman"/>
          <w:sz w:val="24"/>
          <w:szCs w:val="24"/>
          <w:color w:val="FF0000"/>
        </w:rPr>
        <w:t>说明180张增强的来源、地图源风格模拟目标及其针对的域差异，不写成通用生成式增强。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HRSC外部增广：</w:t>
      </w:r>
      <w:r>
        <w:rPr>
          <w:rFonts w:eastAsia="宋体" w:ascii="Times New Roman" w:hAnsi="Times New Roman"/>
          <w:sz w:val="24"/>
          <w:szCs w:val="24"/>
          <w:color w:val="FF0000"/>
        </w:rPr>
        <w:t>说明156张外部增广、HM/LQS类别映射与视觉确认，并给出数据来源和复现路径。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训练流程：</w:t>
      </w:r>
      <w:r>
        <w:rPr>
          <w:rFonts w:eastAsia="宋体" w:ascii="Times New Roman" w:hAnsi="Times New Roman"/>
          <w:sz w:val="24"/>
          <w:szCs w:val="24"/>
          <w:color w:val="FF0000"/>
        </w:rPr>
        <w:t>按约120 epoch基础训练与40 epoch领域微调组织，列出起点权重、优化器、图像尺寸和关键训练配置。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图表建议：</w:t>
      </w:r>
      <w:r>
        <w:rPr>
          <w:rFonts w:eastAsia="宋体" w:ascii="Times New Roman" w:hAnsi="Times New Roman"/>
          <w:sz w:val="24"/>
          <w:szCs w:val="24"/>
          <w:color w:val="FF0000"/>
        </w:rPr>
        <w:t>表3-1数据构成与作用；图3-2数据审计—修正—增强闭环；训练参数只列已实际采用项。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3.4 检测模型演进与正式方案选择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用模型演进证据解释为何最终采用RS-CalYOLO26x-HRSC，而不是堆叠未验证的网络模块。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基线模型：</w:t>
      </w:r>
      <w:r>
        <w:rPr>
          <w:rFonts w:eastAsia="宋体" w:ascii="Times New Roman" w:hAnsi="Times New Roman"/>
          <w:sz w:val="24"/>
          <w:szCs w:val="24"/>
          <w:color w:val="FF0000"/>
        </w:rPr>
        <w:t>说明YOLO26x的选择依据、old160形成过程及其作为备份基线的角色。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正式主模型：</w:t>
      </w:r>
      <w:r>
        <w:rPr>
          <w:rFonts w:eastAsia="宋体" w:ascii="Times New Roman" w:hAnsi="Times New Roman"/>
          <w:sz w:val="24"/>
          <w:szCs w:val="24"/>
          <w:color w:val="FF0000"/>
        </w:rPr>
        <w:t>说明HRSC版相对old160的训练数据和训练流程变化；模型结构未变的部分应如实说明。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有效改进归因：</w:t>
      </w:r>
      <w:r>
        <w:rPr>
          <w:rFonts w:eastAsia="宋体" w:ascii="Times New Roman" w:hAnsi="Times New Roman"/>
          <w:sz w:val="24"/>
          <w:szCs w:val="24"/>
          <w:color w:val="FF0000"/>
        </w:rPr>
        <w:t>围绕标注修正、FSC风格增强、HRSC稀缺舰船补强和阈值冻结建立因果链。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未晋级路线：</w:t>
      </w:r>
      <w:r>
        <w:rPr>
          <w:rFonts w:eastAsia="宋体" w:ascii="Times New Roman" w:hAnsi="Times New Roman"/>
          <w:sz w:val="24"/>
          <w:szCs w:val="24"/>
          <w:color w:val="FF0000"/>
        </w:rPr>
        <w:t>D-FINE与YOLOv11作为完整验证但未超过主方案的对照；Coordinate Attention、WIoU仅在有晋级实测时才能列入正式结构。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方案状态表：</w:t>
      </w:r>
      <w:r>
        <w:rPr>
          <w:rFonts w:eastAsia="宋体" w:ascii="Times New Roman" w:hAnsi="Times New Roman"/>
          <w:sz w:val="24"/>
          <w:szCs w:val="24"/>
          <w:color w:val="FF0000"/>
        </w:rPr>
        <w:t>表3-2按“方案—改动—验证状态—是否晋级—淘汰/保留原因”汇总，避免把实验设想冒充成果。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3.5 超大图推理与后处理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完整说明从未知大图输入到25小类检测结果输出的确定性推理链路和冻结参数。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滑窗策略：</w:t>
      </w:r>
      <w:r>
        <w:rPr>
          <w:rFonts w:eastAsia="宋体" w:ascii="Times New Roman" w:hAnsi="Times New Roman"/>
          <w:sz w:val="24"/>
          <w:szCs w:val="24"/>
          <w:color w:val="FF0000"/>
        </w:rPr>
        <w:t>写明imgsz=1024、tile_size=800、stride=800、batch=1及边界覆盖逻辑，并解释选择依据。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候选生成：</w:t>
      </w:r>
      <w:r>
        <w:rPr>
          <w:rFonts w:eastAsia="宋体" w:ascii="Times New Roman" w:hAnsi="Times New Roman"/>
          <w:sz w:val="24"/>
          <w:szCs w:val="24"/>
          <w:color w:val="FF0000"/>
        </w:rPr>
        <w:t>以pred_conf=0.001、pred_iou=0.70保留候选，说明max_det=300是tile内上限。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全图融合：</w:t>
      </w:r>
      <w:r>
        <w:rPr>
          <w:rFonts w:eastAsia="宋体" w:ascii="Times New Roman" w:hAnsi="Times New Roman"/>
          <w:sz w:val="24"/>
          <w:szCs w:val="24"/>
          <w:color w:val="FF0000"/>
        </w:rPr>
        <w:t>tile坐标映射回原图后执行类别感知全局NMS，global_iou=0.70；区分跨窗去重与类别匹配评测。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类别阈值：</w:t>
      </w:r>
      <w:r>
        <w:rPr>
          <w:rFonts w:eastAsia="宋体" w:ascii="Times New Roman" w:hAnsi="Times New Roman"/>
          <w:sz w:val="24"/>
          <w:szCs w:val="24"/>
          <w:color w:val="FF0000"/>
        </w:rPr>
        <w:t>全图NMS后应用冻结阈值文件，明确当前主阈值资产和FSC阈值；不得把阈值当概率校准。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输出协议：</w:t>
      </w:r>
      <w:r>
        <w:rPr>
          <w:rFonts w:eastAsia="宋体" w:ascii="Times New Roman" w:hAnsi="Times New Roman"/>
          <w:sz w:val="24"/>
          <w:szCs w:val="24"/>
          <w:color w:val="FF0000"/>
        </w:rPr>
        <w:t>保持25小类输出；三大类指标只是评分聚合，不能替代小类检测结果。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图表建议：</w:t>
      </w:r>
      <w:r>
        <w:rPr>
          <w:rFonts w:eastAsia="宋体" w:ascii="Times New Roman" w:hAnsi="Times New Roman"/>
          <w:sz w:val="24"/>
          <w:szCs w:val="24"/>
          <w:color w:val="FF0000"/>
        </w:rPr>
        <w:t>图3-3滑窗、坐标还原和全局NMS示意；表3-3冻结推理参数及资产路径。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3.6 评测口径对齐、协议冻结与方案晋级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建立普通mAP、strict-25、三大类合并匹配和V1.6小类宏平均之间的清晰边界。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基础定义：</w:t>
      </w:r>
      <w:r>
        <w:rPr>
          <w:rFonts w:eastAsia="宋体" w:ascii="Times New Roman" w:hAnsi="Times New Roman"/>
          <w:sz w:val="24"/>
          <w:szCs w:val="24"/>
          <w:color w:val="FF0000"/>
        </w:rPr>
        <w:t>给出TP、FP、FN、Recall和FDR定义；FSC IoU阈值0.35、其余类别0.50。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四类口径：</w:t>
      </w:r>
      <w:r>
        <w:rPr>
          <w:rFonts w:eastAsia="宋体" w:ascii="Times New Roman" w:hAnsi="Times New Roman"/>
          <w:sz w:val="24"/>
          <w:szCs w:val="24"/>
          <w:color w:val="FF0000"/>
        </w:rPr>
        <w:t>分别说明ordinary mAP、strict-25、三大类合并匹配、V1.6小类宏平均的用途，禁止相互替代。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三协议：</w:t>
      </w:r>
      <w:r>
        <w:rPr>
          <w:rFonts w:eastAsia="宋体" w:ascii="Times New Roman" w:hAnsi="Times New Roman"/>
          <w:sz w:val="24"/>
          <w:szCs w:val="24"/>
          <w:color w:val="FF0000"/>
        </w:rPr>
        <w:t>说明val_scene_grouped、val_mixed_stress、val_sparse均由团队构造，用于鲁棒性与评分对齐审计，不是官方隐藏测试集。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超小目标：</w:t>
      </w:r>
      <w:r>
        <w:rPr>
          <w:rFonts w:eastAsia="宋体" w:ascii="Times New Roman" w:hAnsi="Times New Roman"/>
          <w:sz w:val="24"/>
          <w:szCs w:val="24"/>
          <w:color w:val="FF0000"/>
        </w:rPr>
        <w:t>短边小于30 px的过滤仅按项目记录的官方口径审计；正式表述需说明来源与适用范围。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刚性线不确定性：</w:t>
      </w:r>
      <w:r>
        <w:rPr>
          <w:rFonts w:eastAsia="宋体" w:ascii="Times New Roman" w:hAnsi="Times New Roman"/>
          <w:sz w:val="24"/>
          <w:szCs w:val="24"/>
          <w:color w:val="FF0000"/>
        </w:rPr>
        <w:t>资料中20%与25%两种FDR口径并存；工程验收暂按20%，报告需等待官方材料确认。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时间口径：</w:t>
      </w:r>
      <w:r>
        <w:rPr>
          <w:rFonts w:eastAsia="宋体" w:ascii="Times New Roman" w:hAnsi="Times New Roman"/>
          <w:sz w:val="24"/>
          <w:szCs w:val="24"/>
          <w:color w:val="FF0000"/>
        </w:rPr>
        <w:t>分别记录模型inference time、Python推理时间、数据读取时间、端到端时间和未来Docker时间。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晋级判据：</w:t>
      </w:r>
      <w:r>
        <w:rPr>
          <w:rFonts w:eastAsia="宋体" w:ascii="Times New Roman" w:hAnsi="Times New Roman"/>
          <w:sz w:val="24"/>
          <w:szCs w:val="24"/>
          <w:color w:val="FF0000"/>
        </w:rPr>
        <w:t>同协议、同阈值优化规则、同计时方式，且大类指标形成Pareto改进、strict-25无不可接受退化。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3.7 已验证未晋级方案与能力边界实验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把失败实验纳入科研闭环，但与当前正式主模型严格隔离，只陈述已获得的证据和后续假设。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类别专家双模型：</w:t>
      </w:r>
      <w:r>
        <w:rPr>
          <w:rFonts w:eastAsia="宋体" w:ascii="Times New Roman" w:hAnsi="Times New Roman"/>
          <w:sz w:val="24"/>
          <w:szCs w:val="24"/>
          <w:color w:val="FF0000"/>
        </w:rPr>
        <w:t>说明HRSC负责船舶/车辆、old160负责飞机的共享切片方案；列出未晋级原因：峰值时延和strict-25退化。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层级共享定位：</w:t>
      </w:r>
      <w:r>
        <w:rPr>
          <w:rFonts w:eastAsia="宋体" w:ascii="Times New Roman" w:hAnsi="Times New Roman"/>
          <w:sz w:val="24"/>
          <w:szCs w:val="24"/>
          <w:color w:val="FF0000"/>
        </w:rPr>
        <w:t>说明HierarchicalDetect、三大类辅助监督及P3/P2探索目标；当前模型不得描述为性能提升或最终成果。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第一轮结论：</w:t>
      </w:r>
      <w:r>
        <w:rPr>
          <w:rFonts w:eastAsia="宋体" w:ascii="Times New Roman" w:hAnsi="Times New Roman"/>
          <w:sz w:val="24"/>
          <w:szCs w:val="24"/>
          <w:color w:val="FF0000"/>
        </w:rPr>
        <w:t>保留早停、普通mAP下降和统一broad fusion gain被否定等失败证据，最终阈值校准结果留待服务器确认。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后续假设：</w:t>
      </w:r>
      <w:r>
        <w:rPr>
          <w:rFonts w:eastAsia="宋体" w:ascii="Times New Roman" w:hAnsi="Times New Roman"/>
          <w:sz w:val="24"/>
          <w:szCs w:val="24"/>
          <w:color w:val="FF0000"/>
        </w:rPr>
        <w:t>类别独立融合、分阶段冻结、低辅助损失权重、难负样本回灌、P2到P3蒸馏均写为待验证方向。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停止条件：</w:t>
      </w:r>
      <w:r>
        <w:rPr>
          <w:rFonts w:eastAsia="宋体" w:ascii="Times New Roman" w:hAnsi="Times New Roman"/>
          <w:sz w:val="24"/>
          <w:szCs w:val="24"/>
          <w:color w:val="FF0000"/>
        </w:rPr>
        <w:t>若三协议校准后不能接近或超过HRSC，或端到端峰值不满足部署余量，则淘汰实验线。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图表建议：</w:t>
      </w:r>
      <w:r>
        <w:rPr>
          <w:rFonts w:eastAsia="宋体" w:ascii="Times New Roman" w:hAnsi="Times New Roman"/>
          <w:sz w:val="24"/>
          <w:szCs w:val="24"/>
          <w:color w:val="FF0000"/>
        </w:rPr>
        <w:t>图3-4最终主链与实验分支关系；表3-4实验状态、证据、结论和下一步。</w:t>
      </w:r>
    </w:p>
    <w:p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rFonts w:eastAsia="宋体" w:ascii="Times New Roman" w:hAnsi="Times New Roman"/>
          <w:sz w:val="28"/>
          <w:szCs w:val="28"/>
          <w:b/>
          <w:bCs/>
        </w:rPr>
        <w:t>3.8 本章论证接口与图表清单</w:t>
      </w:r>
    </w:p>
    <w:p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eastAsia="宋体" w:ascii="Times New Roman" w:hAnsi="Times New Roman"/>
          <w:sz w:val="24"/>
          <w:szCs w:val="24"/>
          <w:color w:val="0070C0"/>
        </w:rPr>
        <w:t>明确总体技术方案章应交付的图表、与其他章节的数据接口以及正式写作前必须补齐的证据。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与第2章接口：</w:t>
      </w:r>
      <w:r>
        <w:rPr>
          <w:rFonts w:eastAsia="宋体" w:ascii="Times New Roman" w:hAnsi="Times New Roman"/>
          <w:sz w:val="24"/>
          <w:szCs w:val="24"/>
          <w:color w:val="FF0000"/>
        </w:rPr>
        <w:t>引用数据构成、审计和增强事实，不重复展开全部分布统计。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与第4章接口：</w:t>
      </w:r>
      <w:r>
        <w:rPr>
          <w:rFonts w:eastAsia="宋体" w:ascii="Times New Roman" w:hAnsi="Times New Roman"/>
          <w:sz w:val="24"/>
          <w:szCs w:val="24"/>
          <w:color w:val="FF0000"/>
        </w:rPr>
        <w:t>本章只定义评测协议和方案演进逻辑；各模型、split、阈值状态和指标数字统一由结果章展开。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与第5章接口：</w:t>
      </w:r>
      <w:r>
        <w:rPr>
          <w:rFonts w:eastAsia="宋体" w:ascii="Times New Roman" w:hAnsi="Times New Roman"/>
          <w:sz w:val="24"/>
          <w:szCs w:val="24"/>
          <w:color w:val="FF0000"/>
        </w:rPr>
        <w:t>本章标记可由实验证据支撑的创新来源，创新点的凝练和效果量化由创新章节完成。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与第6章接口：</w:t>
      </w:r>
      <w:r>
        <w:rPr>
          <w:rFonts w:eastAsia="宋体" w:ascii="Times New Roman" w:hAnsi="Times New Roman"/>
          <w:sz w:val="24"/>
          <w:szCs w:val="24"/>
          <w:color w:val="FF0000"/>
        </w:rPr>
        <w:t>本章说明推理逻辑和冻结配置，部署章节负责代码结构、资源占用、Docker和硬件实测。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建议图表：</w:t>
      </w:r>
      <w:r>
        <w:rPr>
          <w:rFonts w:eastAsia="宋体" w:ascii="Times New Roman" w:hAnsi="Times New Roman"/>
          <w:sz w:val="24"/>
          <w:szCs w:val="24"/>
          <w:color w:val="FF0000"/>
        </w:rPr>
        <w:t>至少包括总体路线、数据闭环、模型演进、滑窗推理4幅图，以及方案状态、冻结参数、指标口径3张表。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待确认清单：</w:t>
      </w:r>
      <w:r>
        <w:rPr>
          <w:rFonts w:eastAsia="宋体" w:ascii="Times New Roman" w:hAnsi="Times New Roman"/>
          <w:sz w:val="24"/>
          <w:szCs w:val="24"/>
          <w:color w:val="FF0000"/>
        </w:rPr>
        <w:t>最新评分PDF、Docker接口、提交次数、FDR刚性线、层级阈值校准和最终Docker时延未确认前均保留占位。</w:t>
      </w:r>
    </w:p>
    <w:p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eastAsia="宋体" w:ascii="Times New Roman" w:hAnsi="Times New Roman"/>
          <w:sz w:val="24"/>
          <w:szCs w:val="24"/>
          <w:b/>
          <w:bCs/>
          <w:color w:val="FF0000"/>
        </w:rPr>
        <w:t>写作检查：</w:t>
      </w:r>
      <w:r>
        <w:rPr>
          <w:rFonts w:eastAsia="宋体" w:ascii="Times New Roman" w:hAnsi="Times New Roman"/>
          <w:sz w:val="24"/>
          <w:szCs w:val="24"/>
          <w:color w:val="FF0000"/>
        </w:rPr>
        <w:t>每个数字标注模型、split、阈值和口径；每个模块说明状态；每项创新提供对照或消融证据。</w:t>
      </w:r>
    </w:p>
    <w:p w14:paraId="1A03F77A">
      <w:pPr>
        <w:pStyle w:val="40"/>
        <w:spacing w:before="280" w:after="120"/>
        <w:outlineLvl w:val="0"/>
        <w:rPr>
          <w:rFonts w:hint="default"/>
          <w:lang w:val="en-US" w:eastAsia="zh-CN"/>
        </w:rPr>
        <w:keepNext/>
      </w:pPr>
      <w:r>
        <w:rPr>
          <w:lang w:eastAsia="zh-CN"/>
        </w:rPr>
        <w:t>4结果分析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胡佳琪</w:t>
      </w:r>
    </w:p>
    <w:p w14:paraId="737EE9B7">
      <w:pPr>
        <w:pStyle w:val="41"/>
        <w:spacing w:after="0" w:line="300" w:lineRule="auto"/>
        <w:ind w:firstLine="480" w:firstLineChars="200"/>
        <w:jc w:val="both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鉴于本赛题的验证集不会公开，本节所采用的验证集请各参赛团队自行划分，原则上作为验证集的数据比例不低于30%。实际提交的模型，可基于赛题提供的全部数据开发。本文档作为专家对各参赛团队方案合理性、技术创新程度和工程可落地性打分的重要参考，请各参赛团队认真对待。</w:t>
      </w:r>
    </w:p>
    <w:p w14:paraId="1411515B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4.1 实验环境与参数设置</w:t>
      </w:r>
    </w:p>
    <w:p w14:paraId="3182A927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列出硬件、软件环境、主要依赖库、训练参数和推理配置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等</w:t>
      </w: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。</w:t>
      </w:r>
    </w:p>
    <w:p w14:paraId="7D2A1E4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硬件</w:t>
      </w:r>
      <w:r>
        <w:rPr>
          <w:rFonts w:cs="Times New Roman"/>
          <w:color w:val="FF0000"/>
        </w:rPr>
        <w:t>：GPU 型号（必须包含 RTX3090 或同等国产 GPU/NPU 的测试）、CPU、内存、显存</w:t>
      </w:r>
    </w:p>
    <w:p w14:paraId="5FD9EBB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软件</w:t>
      </w:r>
      <w:r>
        <w:rPr>
          <w:rFonts w:cs="Times New Roman"/>
          <w:color w:val="FF0000"/>
        </w:rPr>
        <w:t>：操作系统、Python 版本、PyTorch/TensorFlow 版本、CUDA 版本、主要依赖库（列出版本号）</w:t>
      </w:r>
    </w:p>
    <w:p w14:paraId="6A88A7D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训练参数</w:t>
      </w:r>
      <w:r>
        <w:rPr>
          <w:rFonts w:cs="Times New Roman"/>
          <w:color w:val="FF0000"/>
        </w:rPr>
        <w:t>：优化器、学习率、批大小、训练轮数、数据增强配置</w:t>
      </w:r>
    </w:p>
    <w:p w14:paraId="2922B3A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推理配置</w:t>
      </w:r>
      <w:r>
        <w:rPr>
          <w:rFonts w:cs="Times New Roman"/>
          <w:color w:val="FF0000"/>
        </w:rPr>
        <w:t>：精度（FP32/FP16/INT8）、是否 TensorRT 加速、滑窗参数</w:t>
      </w:r>
    </w:p>
    <w:p w14:paraId="62CD058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Fonts w:cs="Times New Roman"/>
          <w:color w:val="FF0000"/>
        </w:rPr>
        <w:t>所有参数要与代码 / README 保持一致（可复现性要求）</w:t>
      </w:r>
    </w:p>
    <w:p w14:paraId="7CA01B46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4.2 对比实验</w:t>
      </w:r>
    </w:p>
    <w:p w14:paraId="25435207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与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YOLO26等</w:t>
      </w: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基础模型或代表性方法进行比较，说明性能提升情况。</w:t>
      </w:r>
    </w:p>
    <w:p w14:paraId="09E4FFE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对比方法选择</w:t>
      </w:r>
      <w:r>
        <w:rPr>
          <w:rFonts w:cs="Times New Roman"/>
          <w:color w:val="FF0000"/>
        </w:rPr>
        <w:t xml:space="preserve">： </w:t>
      </w:r>
    </w:p>
    <w:p w14:paraId="1B946534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经典基线：YOLOv5/YOLOv8/YOLO26（模板提到了 YOLO26）</w:t>
      </w:r>
    </w:p>
    <w:p w14:paraId="40C33AB6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小样本检测代表方法：如 FSDetView、MetaDet、TFA 等</w:t>
      </w:r>
    </w:p>
    <w:p w14:paraId="75439F18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长尾检测代表方法：如 BAGS、Seesaw Loss、Equalized Loss 等</w:t>
      </w:r>
    </w:p>
    <w:p w14:paraId="2CF261FE">
      <w:pPr>
        <w:keepNext w:val="0"/>
        <w:keepLines w:val="0"/>
        <w:widowControl/>
        <w:numPr>
          <w:ilvl w:val="1"/>
          <w:numId w:val="1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遥感检测专用方法：如 R3Det、S2ANet、Oriented R-CNN 等（如适用）</w:t>
      </w:r>
    </w:p>
    <w:p w14:paraId="40EE0265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对比维度</w:t>
      </w:r>
      <w:r>
        <w:rPr>
          <w:rFonts w:cs="Times New Roman"/>
          <w:color w:val="FF0000"/>
        </w:rPr>
        <w:t xml:space="preserve">： </w:t>
      </w:r>
    </w:p>
    <w:p w14:paraId="22BB820F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整体召回率、虚警率（必须达标）</w:t>
      </w:r>
    </w:p>
    <w:p w14:paraId="1D6FB7DA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分类别（船 / 飞机 / 车辆）召回率、虚警率</w:t>
      </w:r>
    </w:p>
    <w:p w14:paraId="03CFCADE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10000×10000 推理时间</w:t>
      </w:r>
    </w:p>
    <w:p w14:paraId="5218E3A4">
      <w:pPr>
        <w:keepNext w:val="0"/>
        <w:keepLines w:val="0"/>
        <w:widowControl/>
        <w:numPr>
          <w:ilvl w:val="1"/>
          <w:numId w:val="13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参数量、计算量（FLOPs）</w:t>
      </w:r>
    </w:p>
    <w:p w14:paraId="1C5C09CC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用表格汇总，加粗你的方法的最优结果</w:t>
      </w:r>
    </w:p>
    <w:p w14:paraId="62D376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Fonts w:cs="Times New Roman"/>
          <w:color w:val="FF0000"/>
        </w:rPr>
        <w:t>配可视化对比图（你的方法 vs 基线在同一张图上的检测结果，突出你检出了基线漏检的小目标 / 少数类目标）</w:t>
      </w:r>
    </w:p>
    <w:p w14:paraId="22AEAB4A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4.3 消融实验</w:t>
      </w:r>
    </w:p>
    <w:p w14:paraId="21EDFA12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分别验证各创新模块、训练策略或后处理方法的实际贡献。</w:t>
      </w:r>
    </w:p>
    <w:p w14:paraId="081DEEF7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 xml:space="preserve">针对每个创新模块 / 策略，设计 "有 / 无" 对比： </w:t>
      </w:r>
    </w:p>
    <w:p w14:paraId="1D4B0C6E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例 1：骨干网络改进（有 / 无）</w:t>
      </w:r>
    </w:p>
    <w:p w14:paraId="1303310F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例 2：不均衡损失函数（有 / 无，或不同损失对比）</w:t>
      </w:r>
    </w:p>
    <w:p w14:paraId="0BD85CBD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例 3：小样本数据增强策略（有 / 无）</w:t>
      </w:r>
    </w:p>
    <w:p w14:paraId="100E972B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例 4：大幅面推理优化策略（有 / 无）</w:t>
      </w:r>
    </w:p>
    <w:p w14:paraId="1C852603">
      <w:pPr>
        <w:keepNext w:val="0"/>
        <w:keepLines w:val="0"/>
        <w:widowControl/>
        <w:numPr>
          <w:ilvl w:val="1"/>
          <w:numId w:val="15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例 5：多阶段训练策略（有 / 无）</w:t>
      </w:r>
    </w:p>
    <w:p w14:paraId="07D2A8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每个消融都给出召回率、虚警率、推理时间的变化</w:t>
      </w:r>
    </w:p>
    <w:p w14:paraId="2998555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用表格汇总，分析每个模块的实际贡献和 trade-off</w:t>
      </w:r>
    </w:p>
    <w:p w14:paraId="4D256B1E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如果有超参数敏感性分析（如损失权重、滑窗重叠率），也放在这里</w:t>
      </w:r>
    </w:p>
    <w:p w14:paraId="419F4341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4.4 综合性能结果</w:t>
      </w:r>
    </w:p>
    <w:p w14:paraId="15E3EFBB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汇总召回率、虚警率、检测精度和单幅10000×10000像素影像推理时间等结果。单幅10000×10000像素影像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可自行拼接。</w:t>
      </w:r>
    </w:p>
    <w:p w14:paraId="379D88BA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b/>
          <w:color w:val="FF0000"/>
        </w:rPr>
        <w:t>最终提交模型</w:t>
      </w:r>
      <w:r>
        <w:rPr>
          <w:rFonts w:cs="Times New Roman"/>
          <w:color w:val="FF0000"/>
        </w:rPr>
        <w:t xml:space="preserve">的完整性能： </w:t>
      </w:r>
    </w:p>
    <w:p w14:paraId="672F911C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整体召回率、虚警率（必须明确标注是否达到刚性指标）</w:t>
      </w:r>
    </w:p>
    <w:p w14:paraId="03852D2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分大类（船 / 飞机 / 车辆）召回率、虚警率</w:t>
      </w:r>
    </w:p>
    <w:p w14:paraId="3378A14D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分子类（驱护舰 / 航母 / 两栖船 / 民船等）召回率、虚警率</w:t>
      </w:r>
    </w:p>
    <w:p w14:paraId="7B7A6B70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10000×10000 推理时间（RTX3090 上，注明是否含数据读取）</w:t>
      </w:r>
    </w:p>
    <w:p w14:paraId="2BCCAAF8">
      <w:pPr>
        <w:keepNext w:val="0"/>
        <w:keepLines w:val="0"/>
        <w:widowControl/>
        <w:numPr>
          <w:ilvl w:val="1"/>
          <w:numId w:val="16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如在国产 GPU/NPU 上也测了，一并列出（工程可落地性加分项）</w:t>
      </w:r>
    </w:p>
    <w:p w14:paraId="06A409AD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用汇总表呈现，与刚性指标做对比（达标用✓标注）</w:t>
      </w:r>
    </w:p>
    <w:p w14:paraId="7036042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说明这个结果是在自建验证集上的，封闭测试集结果以发榜单位评测为准</w:t>
      </w:r>
    </w:p>
    <w:p w14:paraId="1A8A26C8">
      <w:pPr>
        <w:keepNext w:val="0"/>
        <w:keepLines w:val="0"/>
        <w:widowControl/>
        <w:suppressLineNumbers w:val="0"/>
        <w:spacing w:before="0" w:beforeAutospacing="1" w:after="0" w:afterAutospacing="1" w:line="276" w:lineRule="auto"/>
        <w:ind w:left="0" w:right="0"/>
        <w:jc w:val="left"/>
        <w:rPr>
          <w:rFonts w:ascii="宋体" w:hAnsi="宋体" w:eastAsia="宋体" w:cs="Times New Roman"/>
          <w:color w:val="FF0000"/>
          <w:kern w:val="0"/>
          <w:sz w:val="24"/>
          <w:szCs w:val="22"/>
          <w:lang w:val="en-US" w:eastAsia="zh-CN" w:bidi="ar"/>
          <w14:ligatures w14:val="none"/>
        </w:rPr>
      </w:pPr>
      <w:r>
        <w:rPr>
          <w:rFonts w:ascii="黑体" w:hAnsi="黑体" w:eastAsia="黑体" w:cstheme="minorBidi"/>
          <w:b/>
          <w:kern w:val="0"/>
          <w:sz w:val="28"/>
          <w:szCs w:val="22"/>
          <w:lang w:val="en-US" w:eastAsia="en-US" w:bidi="ar-SA"/>
          <w14:ligatures w14:val="none"/>
        </w:rPr>
        <w:t>4.5 错误分析与可视化</w:t>
      </w:r>
    </w:p>
    <w:p w14:paraId="0E5E682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 xml:space="preserve">分析仍然漏检（FN）和虚警（FP）的典型案例： </w:t>
      </w:r>
    </w:p>
    <w:p w14:paraId="6EE24463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漏检：极小目标、严重遮挡、云雾覆盖、与背景对比度极低</w:t>
      </w:r>
    </w:p>
    <w:p w14:paraId="76DF9A1E">
      <w:pPr>
        <w:keepNext w:val="0"/>
        <w:keepLines w:val="0"/>
        <w:widowControl/>
        <w:numPr>
          <w:ilvl w:val="1"/>
          <w:numId w:val="17"/>
        </w:numPr>
        <w:suppressLineNumbers w:val="0"/>
        <w:spacing w:before="0" w:beforeAutospacing="1" w:after="0" w:afterAutospacing="1"/>
        <w:ind w:left="1440" w:hanging="360"/>
        <w:rPr>
          <w:rFonts w:cs="Times New Roman"/>
          <w:color w:val="FF0000"/>
        </w:rPr>
      </w:pPr>
      <w:r>
        <w:rPr>
          <w:rFonts w:cs="Times New Roman"/>
          <w:color w:val="FF0000"/>
        </w:rPr>
        <w:t>虚警：与目标相似的背景物体、阴影、重复检测</w:t>
      </w:r>
    </w:p>
    <w:p w14:paraId="42650BE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Fonts w:cs="Times New Roman"/>
          <w:color w:val="FF0000"/>
        </w:rPr>
        <w:t>配典型错误案例图，说明原因和后续改进方向</w:t>
      </w:r>
      <w:r>
        <w:rPr>
          <w:rFonts w:hint="eastAsia" w:cs="Times New Roman"/>
          <w:color w:val="FF0000"/>
          <w:lang w:val="en-US" w:eastAsia="zh-CN"/>
        </w:rPr>
        <w:t>,</w:t>
      </w:r>
      <w:r>
        <w:rPr>
          <w:rFonts w:cs="Times New Roman"/>
          <w:color w:val="FF0000"/>
        </w:rPr>
        <w:t>体现 "科学性" 和 "逻辑严谨"</w:t>
      </w:r>
    </w:p>
    <w:p w14:paraId="24E53213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4.</w:t>
      </w:r>
      <w:r>
        <w:rPr>
          <w:rFonts w:hint="eastAsia"/>
          <w:lang w:val="en-US" w:eastAsia="zh-CN"/>
        </w:rPr>
        <w:t>6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小结</w:t>
      </w:r>
    </w:p>
    <w:p w14:paraId="46EB5754">
      <w:pPr>
        <w:pStyle w:val="14"/>
        <w:keepNext w:val="0"/>
        <w:keepLines w:val="0"/>
        <w:widowControl/>
        <w:suppressLineNumbers w:val="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总结本节内容</w:t>
      </w:r>
    </w:p>
    <w:p w14:paraId="797A5613">
      <w:pPr>
        <w:pStyle w:val="14"/>
        <w:keepNext w:val="0"/>
        <w:keepLines w:val="0"/>
        <w:widowControl/>
        <w:suppressLineNumbers w:val="0"/>
        <w:rPr>
          <w:color w:val="FF0000"/>
        </w:rPr>
      </w:pPr>
      <w:r>
        <w:rPr>
          <w:color w:val="FF0000"/>
        </w:rPr>
        <w:t>总结本章核心发现：你的方法在 XX 方面提升了 XX，达到了 XX 指标，验证了 XX 创新点的有效性。</w:t>
      </w:r>
    </w:p>
    <w:p w14:paraId="0798D751">
      <w:pPr>
        <w:pStyle w:val="40"/>
        <w:spacing w:before="280" w:after="120"/>
        <w:rPr>
          <w:rFonts w:hint="default"/>
          <w:lang w:val="en-US" w:eastAsia="zh-CN"/>
        </w:rPr>
        <w:keepNext/>
      </w:pPr>
      <w:r>
        <w:rPr>
          <w:lang w:eastAsia="zh-CN"/>
        </w:rPr>
        <w:t>5 技术创新点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田毅玮</w:t>
      </w:r>
    </w:p>
    <w:p w14:paraId="3C9A96D6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归纳2—4项核心创新。每项建议按照“现有问题—提出方法—实际效果”的逻辑进行说明。</w:t>
      </w:r>
    </w:p>
    <w:p w14:paraId="6FCA0FD5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现有问题：类别不均衡导致模型偏向多数类，少数类召回率低</w:t>
      </w:r>
    </w:p>
    <w:p w14:paraId="60FB4FF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提出方法：设计了 XX 损失，通过 XX 机制对少数类加权 / 对多数类抑制</w:t>
      </w:r>
    </w:p>
    <w:p w14:paraId="2D6B299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color w:val="FF0000"/>
        </w:rPr>
        <w:t>实际效果：少数类（如航母 / 两栖船）召回率提升 X%，整体虚警率降低 X%</w:t>
      </w:r>
    </w:p>
    <w:p w14:paraId="5A1F57CE">
      <w:pPr>
        <w:pStyle w:val="40"/>
        <w:spacing w:before="280" w:after="120"/>
        <w:rPr>
          <w:rFonts w:hint="default"/>
          <w:lang w:val="en-US" w:eastAsia="zh-CN"/>
        </w:rPr>
        <w:keepNext/>
      </w:pPr>
      <w:r>
        <w:rPr>
          <w:lang w:eastAsia="zh-CN"/>
        </w:rPr>
        <w:t>6 工程实现与可复现性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周崇昊</w:t>
      </w:r>
      <w:bookmarkStart w:id="0" w:name="_GoBack"/>
      <w:bookmarkEnd w:id="0"/>
    </w:p>
    <w:p w14:paraId="7F785432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6.1 代码结构与运行流程</w:t>
      </w:r>
    </w:p>
    <w:p w14:paraId="4643049D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概述训练、推理和评估代码的组织方式，并与README文档保持一致。</w:t>
      </w:r>
    </w:p>
    <w:p w14:paraId="436B669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代码目录树（train.py/infer.py/eval.py/configs/ /models//utils/ / README.md）</w:t>
      </w:r>
    </w:p>
    <w:p w14:paraId="6B6EE711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训练→推理→评估的完整命令示例</w:t>
      </w:r>
    </w:p>
    <w:p w14:paraId="283FE3D0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与 README 文档保持一致（模板明确要求）</w:t>
      </w:r>
    </w:p>
    <w:p w14:paraId="2CE631F5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color w:val="FF0000"/>
        </w:rPr>
        <w:t>注明代码注释规范、配置文件管理方式</w:t>
      </w:r>
    </w:p>
    <w:p w14:paraId="1414DE05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6.2 计算效率与资源需求</w:t>
      </w:r>
    </w:p>
    <w:p w14:paraId="7F961744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说明显存、内存、训练时长、推理速度及在RTX 3090或同等算力设备上的运行情况。</w:t>
      </w:r>
    </w:p>
    <w:p w14:paraId="6246190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训练阶段</w:t>
      </w:r>
      <w:r>
        <w:rPr>
          <w:color w:val="FF0000"/>
        </w:rPr>
        <w:t>：显存占用（RTX3090 24G 是否够用）、训练总时长、需要的 GPU 数量</w:t>
      </w:r>
    </w:p>
    <w:p w14:paraId="005DE651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推理阶段</w:t>
      </w:r>
      <w:r>
        <w:rPr>
          <w:color w:val="FF0000"/>
        </w:rPr>
        <w:t xml:space="preserve">： </w:t>
      </w:r>
    </w:p>
    <w:p w14:paraId="39B4D68B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>RTX3090 上单幅 10000×10000 推理时间（必须≤20 秒，给出具体数值）</w:t>
      </w:r>
    </w:p>
    <w:p w14:paraId="29DE8786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>显存占用、内存占用</w:t>
      </w:r>
    </w:p>
    <w:p w14:paraId="136BFE34">
      <w:pPr>
        <w:keepNext w:val="0"/>
        <w:keepLines w:val="0"/>
        <w:widowControl/>
        <w:numPr>
          <w:ilvl w:val="1"/>
          <w:numId w:val="20"/>
        </w:numPr>
        <w:suppressLineNumbers w:val="0"/>
        <w:spacing w:before="0" w:beforeAutospacing="1" w:after="0" w:afterAutospacing="1"/>
        <w:ind w:left="1440" w:hanging="360"/>
        <w:rPr>
          <w:color w:val="FF0000"/>
        </w:rPr>
      </w:pPr>
      <w:r>
        <w:rPr>
          <w:color w:val="FF0000"/>
        </w:rPr>
        <w:t>如用了 TensorRT/ONNX/ 半精度，说明加速比</w:t>
      </w:r>
    </w:p>
    <w:p w14:paraId="5F91B9FB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模型大小</w:t>
      </w:r>
      <w:r>
        <w:rPr>
          <w:color w:val="FF0000"/>
        </w:rPr>
        <w:t>：参数量、权重文件大小</w:t>
      </w:r>
    </w:p>
    <w:p w14:paraId="3565AB3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如有在国产 GPU/NPU（如昇腾、寒武纪）上的测试，一并列出（工程可落地性重要加分项）</w:t>
      </w:r>
    </w:p>
    <w:p w14:paraId="3C078769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6.3 工程适配与部署方案</w:t>
      </w:r>
    </w:p>
    <w:p w14:paraId="07E29CCB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说明模型在实际遥感业务、大幅面影像处理和国产GPU/NPU环境中的适配思路。</w:t>
      </w:r>
    </w:p>
    <w:p w14:paraId="5FEC5287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大幅面影像处理</w:t>
      </w:r>
      <w:r>
        <w:rPr>
          <w:color w:val="FF0000"/>
        </w:rPr>
        <w:t>：滑窗策略的工程实现、内存优化、流式处理</w:t>
      </w:r>
    </w:p>
    <w:p w14:paraId="1906442F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国产 GPU/NPU 适配</w:t>
      </w:r>
      <w:r>
        <w:rPr>
          <w:color w:val="FF0000"/>
        </w:rPr>
        <w:t>：模型转换（ONNX→OM / 其他）、算子兼容性、性能对比</w:t>
      </w:r>
    </w:p>
    <w:p w14:paraId="7DD2102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业务化部署</w:t>
      </w:r>
      <w:r>
        <w:rPr>
          <w:color w:val="FF0000"/>
        </w:rPr>
        <w:t>：是否支持批量处理、是否可集成到现有遥感解译系统、API 接口设计</w:t>
      </w:r>
    </w:p>
    <w:p w14:paraId="4CEEA038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rStyle w:val="19"/>
          <w:color w:val="FF0000"/>
        </w:rPr>
        <w:t>发榜单位场景适配</w:t>
      </w:r>
      <w:r>
        <w:rPr>
          <w:color w:val="FF0000"/>
        </w:rPr>
        <w:t>：针对上海卫星工程研究所的在轨测试 / 业务化验证场景，说明如何快速部署</w:t>
      </w:r>
    </w:p>
    <w:p w14:paraId="1BA5BC77">
      <w:pPr>
        <w:pStyle w:val="42"/>
        <w:spacing w:before="200" w:after="80"/>
        <w:outlineLvl w:val="1"/>
        <w:rPr>
          <w:rFonts w:hint="eastAsia"/>
          <w:lang w:eastAsia="zh-CN"/>
        </w:rPr>
        <w:keepNext/>
      </w:pPr>
      <w:r>
        <w:rPr>
          <w:lang w:eastAsia="zh-CN"/>
        </w:rPr>
        <w:t>6.4 可靠性与可扩展性</w:t>
      </w:r>
    </w:p>
    <w:p w14:paraId="403BD4DB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说明异常处理、模型稳定性、跨区域泛化、类别扩展和长期运行维护能力。</w:t>
      </w:r>
    </w:p>
    <w:p w14:paraId="29C5CA0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异常处理</w:t>
      </w:r>
      <w:r>
        <w:rPr>
          <w:color w:val="FF0000"/>
        </w:rPr>
        <w:t>：输入影像异常（尺寸不一致、损坏）的处理、推理超时保护</w:t>
      </w:r>
    </w:p>
    <w:p w14:paraId="25DBF4F7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模型稳定性</w:t>
      </w:r>
      <w:r>
        <w:rPr>
          <w:color w:val="FF0000"/>
        </w:rPr>
        <w:t>：不同随机种子下的性能方差、跨区域泛化能力（如在不同地理区域测试）</w:t>
      </w:r>
    </w:p>
    <w:p w14:paraId="57B4548C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类别扩展</w:t>
      </w:r>
      <w:r>
        <w:rPr>
          <w:color w:val="FF0000"/>
        </w:rPr>
        <w:t>：新增类别时如何微调、是否支持增量学习</w:t>
      </w:r>
    </w:p>
    <w:p w14:paraId="2BF9471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Style w:val="19"/>
          <w:color w:val="FF0000"/>
        </w:rPr>
        <w:t>长期运行维护</w:t>
      </w:r>
      <w:r>
        <w:rPr>
          <w:color w:val="FF0000"/>
        </w:rPr>
        <w:t>：模型更新机制、数据闭环（新标注数据如何回流）、版本管理</w:t>
      </w:r>
    </w:p>
    <w:p w14:paraId="424E4B95">
      <w:pPr>
        <w:pStyle w:val="42"/>
        <w:spacing w:before="200" w:after="80"/>
        <w:outlineLvl w:val="1"/>
        <w:rPr>
          <w:lang w:eastAsia="zh-CN"/>
        </w:rPr>
        <w:keepNext/>
      </w:pPr>
      <w:r>
        <w:rPr>
          <w:lang w:eastAsia="zh-CN"/>
        </w:rPr>
        <w:t>第 7 章 揭榜基础与团队优势（新增）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田毅玮</w:t>
      </w:r>
    </w:p>
    <w:p w14:paraId="0A9AADD9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7.1 团队与平台基础</w:t>
      </w:r>
    </w:p>
    <w:p w14:paraId="12FCAAB9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依托的实验室 / 研究院（如国家重点实验室、省部级实验室），简要介绍平台实力</w:t>
      </w:r>
    </w:p>
    <w:p w14:paraId="49208EE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指导教师团队：研究方向、相关领域积累、在遥感 / 计算机视觉方面的代表性成果</w:t>
      </w:r>
    </w:p>
    <w:p w14:paraId="0F516725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>硬件算力条件：团队拥有的 GPU 资源、计算集群</w:t>
      </w:r>
    </w:p>
    <w:p w14:paraId="28AA7009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7.2 相关研究积累</w:t>
      </w:r>
    </w:p>
    <w:p w14:paraId="7267F232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团队前期在遥感影像处理、目标检测、小样本学习方面的论文（列出代表性论文）</w:t>
      </w:r>
    </w:p>
    <w:p w14:paraId="37946233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相关项目 / 竞赛经历（如参加过其他遥感检测竞赛、承担过相关科研项目）</w:t>
      </w:r>
    </w:p>
    <w:p w14:paraId="673B8DF6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>已有的代码 base / 预训练模型（如有，可加速本项目开发）</w:t>
      </w:r>
    </w:p>
    <w:p w14:paraId="245752FE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7.3 与发榜单位的对接</w:t>
      </w:r>
    </w:p>
    <w:p w14:paraId="38FE65C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是否参加了项目解读会 / 答疑会</w:t>
      </w:r>
    </w:p>
    <w:p w14:paraId="0962DDA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是否与发榜单位专家有过技术沟通</w:t>
      </w:r>
    </w:p>
    <w:p w14:paraId="269BCA8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t>对发榜单位业务需求的理解深度</w:t>
      </w:r>
    </w:p>
    <w:p w14:paraId="0A122904">
      <w:pPr>
        <w:pStyle w:val="42"/>
        <w:spacing w:before="200" w:after="80"/>
        <w:outlineLvl w:val="1"/>
        <w:rPr>
          <w:rFonts w:hint="default"/>
          <w:lang w:val="en-US" w:eastAsia="zh-CN"/>
        </w:rPr>
        <w:keepNext/>
      </w:pPr>
      <w:r>
        <w:rPr>
          <w:lang w:eastAsia="zh-CN"/>
        </w:rPr>
        <w:t>第 8 章 应用价值与效益分析（新增）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谭锦康</w:t>
      </w:r>
    </w:p>
    <w:p w14:paraId="5B530270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8.1 对发榜单位的直接业务价值</w:t>
      </w:r>
    </w:p>
    <w:p w14:paraId="1B260B7E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压缩新卫星 / 新区域在轨测试与业务化验证周期（从 XX 缩短到 XX）</w:t>
      </w:r>
    </w:p>
    <w:p w14:paraId="6DACD3E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提升时敏目标应急响应效率</w:t>
      </w:r>
    </w:p>
    <w:p w14:paraId="2C1681D6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>减少人工标注成本（小样本条件下即可建模）</w:t>
      </w:r>
    </w:p>
    <w:p w14:paraId="05C7B931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8.2 经济效益分析</w:t>
      </w:r>
    </w:p>
    <w:p w14:paraId="25DA1DA5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人力成本节约：减少标注人员 / 解译人员工作量</w:t>
      </w:r>
    </w:p>
    <w:p w14:paraId="6B7B434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算力成本节约：推理效率提升带来的算力需求降低</w:t>
      </w:r>
    </w:p>
    <w:p w14:paraId="47F3B40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>业务化效率提升带来的间接收益</w:t>
      </w:r>
    </w:p>
    <w:p w14:paraId="63EC2CBE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8.3 社会效益与国防价值</w:t>
      </w:r>
    </w:p>
    <w:p w14:paraId="18416089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重点区域态势感知能力提升</w:t>
      </w:r>
    </w:p>
    <w:p w14:paraId="7687C79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>重大突发事件（灾害 / 事故）应急响应支撑</w:t>
      </w:r>
    </w:p>
    <w:p w14:paraId="74D35D1D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t>自主可控遥感智能解译技术的推进</w:t>
      </w:r>
    </w:p>
    <w:p w14:paraId="5261B52B">
      <w:pPr>
        <w:pStyle w:val="40"/>
        <w:spacing w:before="280" w:after="120"/>
        <w:rPr>
          <w:rFonts w:hint="default"/>
          <w:lang w:val="en-US" w:eastAsia="zh-CN"/>
        </w:rPr>
        <w:keepNext/>
      </w:pPr>
      <w:r>
        <w:rPr>
          <w:rFonts w:hint="eastAsia"/>
          <w:lang w:val="en-US" w:eastAsia="zh-CN"/>
        </w:rPr>
        <w:t>9</w:t>
      </w:r>
      <w:r>
        <w:rPr>
          <w:lang w:eastAsia="zh-CN"/>
        </w:rPr>
        <w:t xml:space="preserve"> 结论与展望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谭锦康</w:t>
      </w:r>
    </w:p>
    <w:p w14:paraId="097003C6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总结完成的主要工作、关键结果和应用价值，说明当前不足及下一步改进方向。</w:t>
      </w:r>
    </w:p>
    <w:p w14:paraId="3A735DC2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9.1 主要工作总结</w:t>
      </w:r>
    </w:p>
    <w:p w14:paraId="53C54426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完成了什么：提出了 XX 方法，构建了 XX 模型</w:t>
      </w:r>
    </w:p>
    <w:p w14:paraId="5B11B828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关键结果：召回率 XX%、虚警率 XX%、推理时间 XX 秒，均达到 / 超过刚性指标</w:t>
      </w:r>
    </w:p>
    <w:p w14:paraId="05F513B0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>创新点回顾：2-4 个创新点的一句话总结</w:t>
      </w:r>
    </w:p>
    <w:p w14:paraId="38FE3DA6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9.2 当前不足</w:t>
      </w:r>
    </w:p>
    <w:p w14:paraId="24CA7B64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诚实分析局限性：如某些极端场景（极云雾 / 极小目标）仍有漏检</w:t>
      </w:r>
    </w:p>
    <w:p w14:paraId="193672CF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某些类别性能仍有提升空间</w:t>
      </w:r>
    </w:p>
    <w:p w14:paraId="6B163246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推理时间在更复杂场景下的波动</w:t>
      </w:r>
    </w:p>
    <w:p w14:paraId="2AE957F0">
      <w:pPr>
        <w:pStyle w:val="14"/>
        <w:keepNext w:val="0"/>
        <w:keepLines w:val="0"/>
        <w:widowControl/>
        <w:suppressLineNumbers w:val="0"/>
      </w:pPr>
      <w:r>
        <w:rPr>
          <w:rStyle w:val="19"/>
        </w:rPr>
        <w:t>9.3 下一步改进方向</w:t>
      </w:r>
    </w:p>
    <w:p w14:paraId="52B90CF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技术层面：引入更强的预训练、探索生成式增强、优化模型架构</w:t>
      </w:r>
    </w:p>
    <w:p w14:paraId="1C9F0359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工程层面：进一步优化国产 GPU 部署、实现端到端业务化集成</w:t>
      </w:r>
    </w:p>
    <w:p w14:paraId="06B0B060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t>数据层面：持续积累标注数据、构建数据闭环</w:t>
      </w:r>
    </w:p>
    <w:p w14:paraId="3F8AC331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</w:p>
    <w:p w14:paraId="294D6B8B">
      <w:pPr>
        <w:pStyle w:val="40"/>
        <w:spacing w:before="280" w:after="120"/>
        <w:rPr>
          <w:rFonts w:hint="eastAsia"/>
          <w:lang w:eastAsia="zh-CN"/>
        </w:rPr>
        <w:keepNext/>
      </w:pPr>
      <w:r>
        <w:rPr>
          <w:lang w:eastAsia="zh-CN"/>
        </w:rPr>
        <w:t>参考文献</w:t>
      </w:r>
    </w:p>
    <w:p w14:paraId="52DF0B28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列出报告中引用的论文、标准、数据说明文档和开源项目，格式前后统一。</w:t>
      </w:r>
    </w:p>
    <w:p w14:paraId="5BD47D1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rFonts w:hint="eastAsia"/>
          <w:color w:val="FF0000"/>
          <w:lang w:val="en-US" w:eastAsia="zh-CN"/>
        </w:rPr>
        <w:t>参考文献</w:t>
      </w:r>
      <w:r>
        <w:rPr>
          <w:color w:val="FF0000"/>
        </w:rPr>
        <w:t>格式统一（GB/T 7714 格式）</w:t>
      </w:r>
    </w:p>
    <w:p w14:paraId="022B2C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包含：学术论文（小样本 / 长尾 / 遥感检测领域的经典和最新论文）、开源项目（YOLO 等）、数据说明文档、相关标准</w:t>
      </w:r>
    </w:p>
    <w:p w14:paraId="3AE452FF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数量建议 20-40 篇，近 3 年文献占比≥50%（体现前沿性）</w:t>
      </w:r>
    </w:p>
    <w:p w14:paraId="5DC75262">
      <w:pPr>
        <w:pStyle w:val="40"/>
        <w:spacing w:before="280" w:after="120"/>
        <w:rPr>
          <w:rFonts w:hint="eastAsia"/>
          <w:lang w:eastAsia="zh-CN"/>
        </w:rPr>
        <w:keepNext/>
      </w:pPr>
    </w:p>
    <w:p w14:paraId="42B05E3B">
      <w:pPr>
        <w:pStyle w:val="42"/>
        <w:spacing w:before="200" w:after="80"/>
        <w:rPr>
          <w:rFonts w:hint="eastAsia"/>
          <w:lang w:eastAsia="zh-CN"/>
        </w:rPr>
        <w:keepNext/>
      </w:pPr>
      <w:r>
        <w:rPr>
          <w:lang w:eastAsia="zh-CN"/>
        </w:rPr>
        <w:t>附录A 主要结果汇总表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韩国良</w:t>
      </w:r>
    </w:p>
    <w:p w14:paraId="04F3A349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可放置完整的指标统计表、类别级结果或补充实验结果。</w:t>
      </w:r>
    </w:p>
    <w:p w14:paraId="37FAD6A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完整指标统计表：整体 + 分大类 + 分子类的召回率 / 虚警率</w:t>
      </w:r>
    </w:p>
    <w:p w14:paraId="2E9E2BF6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对比实验完整结果</w:t>
      </w:r>
    </w:p>
    <w:p w14:paraId="1154A001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消融实验完整结果</w:t>
      </w:r>
    </w:p>
    <w:p w14:paraId="0E7B7518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推理时间详细拆解（数据预处理 / 模型推理 / 后处理各占多少时间）</w:t>
      </w:r>
    </w:p>
    <w:p w14:paraId="33AD0480">
      <w:pPr>
        <w:pStyle w:val="41"/>
        <w:spacing w:after="0" w:line="300" w:lineRule="auto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</w:p>
    <w:p w14:paraId="5DCB0DDA">
      <w:pPr>
        <w:pStyle w:val="42"/>
        <w:spacing w:before="200" w:after="80"/>
        <w:rPr>
          <w:rFonts w:hint="default"/>
          <w:lang w:val="en-US" w:eastAsia="zh-CN"/>
        </w:rPr>
        <w:keepNext/>
      </w:pPr>
      <w:r>
        <w:rPr>
          <w:lang w:eastAsia="zh-CN"/>
        </w:rPr>
        <w:t>附录B 代码与文件清单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朱顺龙</w:t>
      </w:r>
    </w:p>
    <w:p w14:paraId="51DF4202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列出提交的训练代码、推理代码、评估代码、README、权重文件及测试结果文件。</w:t>
      </w:r>
      <w:r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t>此处列出清单即可，具体的文件和本文档打包成一个zip压缩包文件在系统里提交即可。</w:t>
      </w:r>
    </w:p>
    <w:p w14:paraId="0B157116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训练代码、推理代码、评估代码、README、权重文件、测试结果 JSON 文件</w:t>
      </w:r>
    </w:p>
    <w:p w14:paraId="4FC3FAB9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每个文件的功能说明</w:t>
      </w:r>
    </w:p>
    <w:p w14:paraId="0CFF0EE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</w:pPr>
      <w:r>
        <w:rPr>
          <w:color w:val="FF0000"/>
        </w:rPr>
        <w:t>与 zip 压缩包内的实际文件一一对应</w:t>
      </w:r>
    </w:p>
    <w:p w14:paraId="7CF42116">
      <w:pPr>
        <w:pStyle w:val="42"/>
        <w:spacing w:before="200" w:after="80"/>
        <w:rPr>
          <w:rFonts w:hint="eastAsia"/>
          <w:lang w:eastAsia="zh-CN"/>
        </w:rPr>
        <w:keepNext/>
      </w:pPr>
      <w:r>
        <w:rPr>
          <w:lang w:eastAsia="zh-CN"/>
        </w:rPr>
        <w:t>附录C 代表性可视化结果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  <w:highlight w:val="yellow"/>
          <w:lang w:val="en-US" w:eastAsia="zh-CN"/>
        </w:rPr>
        <w:t>韩国良</w:t>
      </w:r>
    </w:p>
    <w:p w14:paraId="432124CE">
      <w:pPr>
        <w:pStyle w:val="41"/>
        <w:spacing w:after="0" w:line="300" w:lineRule="auto"/>
        <w:ind w:firstLine="480" w:firstLineChars="200"/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  <w:r>
        <w:rPr>
          <w:rFonts w:ascii="宋体" w:hAnsi="宋体" w:eastAsia="宋体"/>
          <w:i w:val="0"/>
          <w:iCs/>
          <w:color w:val="0070C0"/>
          <w:sz w:val="24"/>
          <w:szCs w:val="24"/>
          <w:lang w:eastAsia="zh-CN"/>
        </w:rPr>
        <w:t>放置原始光学影像叠加检测框的代表性示例，并注明类别和置信度。</w:t>
      </w:r>
    </w:p>
    <w:p w14:paraId="143F2A35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原始光学影像叠加检测框，注明类别和置信度</w:t>
      </w:r>
    </w:p>
    <w:p w14:paraId="6D9E0283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覆盖：三大类目标、不同尺度、不同复杂场景、成功案例 + 典型失败案例</w:t>
      </w:r>
    </w:p>
    <w:p w14:paraId="4C5C26D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  <w:rPr>
          <w:color w:val="FF0000"/>
        </w:rPr>
      </w:pPr>
      <w:r>
        <w:rPr>
          <w:color w:val="FF0000"/>
        </w:rPr>
        <w:t>建议 10-20 张图</w:t>
      </w:r>
    </w:p>
    <w:p w14:paraId="03C4A1B0">
      <w:pPr>
        <w:pStyle w:val="42"/>
        <w:spacing w:before="200" w:after="80"/>
        <w:rPr>
          <w:lang w:eastAsia="zh-CN"/>
        </w:rPr>
        <w:keepNext/>
      </w:pPr>
      <w:r>
        <w:rPr>
          <w:lang w:eastAsia="zh-CN"/>
        </w:rPr>
        <w:t>附录 D 论文 / 专利 / 软著清单（新增，如有）</w:t>
      </w:r>
      <w:r>
        <w:rPr>
          <w:rFonts w:hint="eastAsia"/>
          <w:highlight w:val="yellow"/>
          <w:lang w:val="en-US" w:eastAsia="zh-CN"/>
        </w:rPr>
        <w:t>田毅玮</w:t>
      </w:r>
    </w:p>
    <w:p w14:paraId="79593BE3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t>团队相关论文、专利、软件著作权列表</w:t>
      </w:r>
    </w:p>
    <w:p w14:paraId="75676502">
      <w:pPr>
        <w:pStyle w:val="42"/>
        <w:spacing w:before="200" w:after="80"/>
        <w:rPr>
          <w:lang w:eastAsia="zh-CN"/>
        </w:rPr>
        <w:keepNext/>
      </w:pPr>
      <w:r>
        <w:rPr>
          <w:lang w:eastAsia="zh-CN"/>
        </w:rPr>
        <w:t>附录 E 专家推荐 / 应用证明（新增，如有）</w:t>
      </w:r>
      <w:r>
        <w:rPr>
          <w:rFonts w:hint="eastAsia"/>
          <w:highlight w:val="yellow"/>
          <w:lang w:val="en-US" w:eastAsia="zh-CN"/>
        </w:rPr>
        <w:t>田毅玮</w:t>
      </w:r>
    </w:p>
    <w:p w14:paraId="0C2F344C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t>指导教师或合作单位出具的推荐 / 应用证明</w:t>
      </w:r>
    </w:p>
    <w:p w14:paraId="69044A84">
      <w:pPr>
        <w:pStyle w:val="41"/>
        <w:spacing w:after="0" w:line="300" w:lineRule="auto"/>
        <w:ind w:firstLine="480" w:firstLineChars="200"/>
        <w:rPr>
          <w:rFonts w:hint="eastAsia" w:ascii="宋体" w:hAnsi="宋体" w:eastAsia="宋体"/>
          <w:i w:val="0"/>
          <w:iCs/>
          <w:color w:val="0070C0"/>
          <w:sz w:val="24"/>
          <w:szCs w:val="24"/>
          <w:lang w:eastAsia="zh-CN"/>
        </w:rPr>
        <w:keepNext/>
      </w:pPr>
    </w:p>
    <w:sectPr>
      <w:pgSz w:w="12240" w:h="15840"/>
      <w:pgMar w:top="1417" w:right="1587" w:bottom="1417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2A91108">
    <w:pPr>
      <w:pStyle w:val="11"/>
      <w:jc w:val="center"/>
      <w:rPr>
        <w:rFonts w:hint="eastAsia"/>
      </w:rPr>
    </w:pPr>
    <w:r>
      <w:fldChar w:fldCharType="begin"/>
    </w:r>
    <w:r>
      <w:instrText xml:space="preserve">PAGE</w:instrText>
    </w:r>
    <w:r>
      <w:fldChar w:fldCharType="separate"/>
    </w:r>
    <w:r>
      <w:rPr>
        <w:rFonts w:hint="eastAsia"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518891B"/>
    <w:multiLevelType w:val="multilevel"/>
    <w:tmpl w:val="851889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">
    <w:nsid w:val="8C506DAC"/>
    <w:multiLevelType w:val="multilevel"/>
    <w:tmpl w:val="8C506D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">
    <w:nsid w:val="8D29F106"/>
    <w:multiLevelType w:val="multilevel"/>
    <w:tmpl w:val="8D29F1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">
    <w:nsid w:val="8FF9343F"/>
    <w:multiLevelType w:val="multilevel"/>
    <w:tmpl w:val="8FF934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4">
    <w:nsid w:val="90C633F1"/>
    <w:multiLevelType w:val="multilevel"/>
    <w:tmpl w:val="90C633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">
    <w:nsid w:val="A622F851"/>
    <w:multiLevelType w:val="multilevel"/>
    <w:tmpl w:val="A622F85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6">
    <w:nsid w:val="A73C80F6"/>
    <w:multiLevelType w:val="multilevel"/>
    <w:tmpl w:val="A73C80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7">
    <w:nsid w:val="B091A841"/>
    <w:multiLevelType w:val="multilevel"/>
    <w:tmpl w:val="B091A8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8">
    <w:nsid w:val="B6AA9E4E"/>
    <w:multiLevelType w:val="multilevel"/>
    <w:tmpl w:val="B6AA9E4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">
    <w:nsid w:val="BEAA30D4"/>
    <w:multiLevelType w:val="multilevel"/>
    <w:tmpl w:val="BEAA30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D8BE02E6"/>
    <w:multiLevelType w:val="multilevel"/>
    <w:tmpl w:val="D8BE02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1">
    <w:nsid w:val="D8D44766"/>
    <w:multiLevelType w:val="multilevel"/>
    <w:tmpl w:val="D8D447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2">
    <w:nsid w:val="DF7D7C14"/>
    <w:multiLevelType w:val="multilevel"/>
    <w:tmpl w:val="DF7D7C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3">
    <w:nsid w:val="E5AC20FD"/>
    <w:multiLevelType w:val="multilevel"/>
    <w:tmpl w:val="E5AC2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">
    <w:nsid w:val="E9796748"/>
    <w:multiLevelType w:val="multilevel"/>
    <w:tmpl w:val="E97967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5">
    <w:nsid w:val="187FE009"/>
    <w:multiLevelType w:val="multilevel"/>
    <w:tmpl w:val="187FE00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6">
    <w:nsid w:val="1BCF3B33"/>
    <w:multiLevelType w:val="multilevel"/>
    <w:tmpl w:val="1BCF3B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7">
    <w:nsid w:val="2655498A"/>
    <w:multiLevelType w:val="multilevel"/>
    <w:tmpl w:val="265549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">
    <w:nsid w:val="31294364"/>
    <w:multiLevelType w:val="multilevel"/>
    <w:tmpl w:val="312943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3A549937"/>
    <w:multiLevelType w:val="multilevel"/>
    <w:tmpl w:val="3A5499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">
    <w:nsid w:val="3EF2782B"/>
    <w:multiLevelType w:val="multilevel"/>
    <w:tmpl w:val="3EF278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">
    <w:nsid w:val="48727FDE"/>
    <w:multiLevelType w:val="multilevel"/>
    <w:tmpl w:val="48727F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2">
    <w:nsid w:val="49639476"/>
    <w:multiLevelType w:val="multilevel"/>
    <w:tmpl w:val="496394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3">
    <w:nsid w:val="4CB4412F"/>
    <w:multiLevelType w:val="multilevel"/>
    <w:tmpl w:val="4CB441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4">
    <w:nsid w:val="53E1F3CE"/>
    <w:multiLevelType w:val="multilevel"/>
    <w:tmpl w:val="53E1F3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5">
    <w:nsid w:val="5782B3B3"/>
    <w:multiLevelType w:val="multilevel"/>
    <w:tmpl w:val="5782B3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6">
    <w:nsid w:val="626752BD"/>
    <w:multiLevelType w:val="multilevel"/>
    <w:tmpl w:val="626752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7">
    <w:nsid w:val="63851602"/>
    <w:multiLevelType w:val="multilevel"/>
    <w:tmpl w:val="638516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8">
    <w:nsid w:val="6A49FFD3"/>
    <w:multiLevelType w:val="multilevel"/>
    <w:tmpl w:val="6A49FF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9">
    <w:nsid w:val="6E96DCC1"/>
    <w:multiLevelType w:val="multilevel"/>
    <w:tmpl w:val="6E96DC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0">
    <w:nsid w:val="71268C36"/>
    <w:multiLevelType w:val="multilevel"/>
    <w:tmpl w:val="71268C3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31">
    <w:nsid w:val="7A34758C"/>
    <w:multiLevelType w:val="multilevel"/>
    <w:tmpl w:val="7A3475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27"/>
  </w:num>
  <w:num w:numId="2">
    <w:abstractNumId w:val="20"/>
  </w:num>
  <w:num w:numId="3">
    <w:abstractNumId w:val="0"/>
  </w:num>
  <w:num w:numId="4">
    <w:abstractNumId w:val="10"/>
  </w:num>
  <w:num w:numId="5">
    <w:abstractNumId w:val="13"/>
  </w:num>
  <w:num w:numId="6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25"/>
  </w:num>
  <w:num w:numId="13">
    <w:abstractNumId w:val="17"/>
  </w:num>
  <w:num w:numId="14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9"/>
  </w:num>
  <w:num w:numId="17">
    <w:abstractNumId w:val="5"/>
  </w:num>
  <w:num w:numId="18">
    <w:abstractNumId w:val="11"/>
  </w:num>
  <w:num w:numId="19">
    <w:abstractNumId w:val="1"/>
  </w:num>
  <w:num w:numId="20">
    <w:abstractNumId w:val="31"/>
  </w:num>
  <w:num w:numId="21">
    <w:abstractNumId w:val="12"/>
  </w:num>
  <w:num w:numId="22">
    <w:abstractNumId w:val="21"/>
  </w:num>
  <w:num w:numId="23">
    <w:abstractNumId w:val="29"/>
  </w:num>
  <w:num w:numId="24">
    <w:abstractNumId w:val="14"/>
  </w:num>
  <w:num w:numId="25">
    <w:abstractNumId w:val="19"/>
  </w:num>
  <w:num w:numId="26">
    <w:abstractNumId w:val="30"/>
  </w:num>
  <w:num w:numId="27">
    <w:abstractNumId w:val="28"/>
  </w:num>
  <w:num w:numId="28">
    <w:abstractNumId w:val="22"/>
  </w:num>
  <w:num w:numId="29">
    <w:abstractNumId w:val="7"/>
  </w:num>
  <w:num w:numId="30">
    <w:abstractNumId w:val="15"/>
  </w:num>
  <w:num w:numId="31">
    <w:abstractNumId w:val="2"/>
  </w:num>
  <w:num w:numId="32">
    <w:abstractNumId w:val="6"/>
  </w:num>
  <w:num w:numId="33">
    <w:abstractNumId w:val="23"/>
  </w:num>
  <w:num w:numId="34">
    <w:abstractNumId w:val="26"/>
  </w:num>
  <w:num w:numId="35">
    <w:abstractNumId w:val="4"/>
  </w:num>
  <w:num w:numId="36">
    <w:abstractNumId w:val="16"/>
  </w:num>
  <w:num w:numId="37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6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45AE"/>
    <w:rsid w:val="00076E6C"/>
    <w:rsid w:val="0014715B"/>
    <w:rsid w:val="001674EB"/>
    <w:rsid w:val="002030E8"/>
    <w:rsid w:val="00205A9E"/>
    <w:rsid w:val="00305E26"/>
    <w:rsid w:val="00396C23"/>
    <w:rsid w:val="003F1180"/>
    <w:rsid w:val="00455C88"/>
    <w:rsid w:val="005348C3"/>
    <w:rsid w:val="00586AF5"/>
    <w:rsid w:val="005D4335"/>
    <w:rsid w:val="00653A6B"/>
    <w:rsid w:val="006D301C"/>
    <w:rsid w:val="009F45AE"/>
    <w:rsid w:val="00A04640"/>
    <w:rsid w:val="00A85096"/>
    <w:rsid w:val="00BD25EE"/>
    <w:rsid w:val="00C07218"/>
    <w:rsid w:val="00C13D16"/>
    <w:rsid w:val="00C27737"/>
    <w:rsid w:val="00CD41D5"/>
    <w:rsid w:val="00D7104D"/>
    <w:rsid w:val="00DE4FB3"/>
    <w:rsid w:val="00E550EF"/>
    <w:rsid w:val="00E915D3"/>
    <w:rsid w:val="00EA29F7"/>
    <w:rsid w:val="00EF4AF5"/>
    <w:rsid w:val="00FC36AB"/>
    <w:rsid w:val="00FD2F2D"/>
    <w:rsid w:val="31802600"/>
    <w:rsid w:val="35DD5099"/>
    <w:rsid w:val="38E96FC3"/>
    <w:rsid w:val="4A2C438A"/>
    <w:rsid w:val="5AA6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kern w:val="0"/>
      <w:sz w:val="24"/>
      <w:szCs w:val="22"/>
      <w:lang w:val="en-US" w:eastAsia="en-US" w:bidi="ar-SA"/>
      <w14:ligatures w14:val="none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1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2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4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Cs w:val="24"/>
    </w:rPr>
  </w:style>
  <w:style w:type="paragraph" w:styleId="7">
    <w:name w:val="heading 6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6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7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8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8">
    <w:name w:val="Default Paragraph Font"/>
    <w:semiHidden/>
    <w:unhideWhenUsed/>
    <w:qFormat/>
    <w:uiPriority w:val="1"/>
  </w:style>
  <w:style w:type="table" w:default="1" w:styleId="1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9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2">
    <w:name w:val="header"/>
    <w:basedOn w:val="1"/>
    <w:link w:val="38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30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5">
    <w:name w:val="Title"/>
    <w:basedOn w:val="1"/>
    <w:next w:val="1"/>
    <w:link w:val="29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6"/>
    <w:qFormat/>
    <w:uiPriority w:val="59"/>
    <w:rPr>
      <w:kern w:val="0"/>
      <w:sz w:val="22"/>
      <w:lang w:eastAsia="en-US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9">
    <w:name w:val="Strong"/>
    <w:basedOn w:val="18"/>
    <w:qFormat/>
    <w:uiPriority w:val="22"/>
    <w:rPr>
      <w:b/>
    </w:rPr>
  </w:style>
  <w:style w:type="character" w:customStyle="1" w:styleId="20">
    <w:name w:val="标题 1 字符"/>
    <w:basedOn w:val="18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1">
    <w:name w:val="标题 2 字符"/>
    <w:basedOn w:val="18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2">
    <w:name w:val="标题 3 字符"/>
    <w:basedOn w:val="18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3">
    <w:name w:val="标题 4 字符"/>
    <w:basedOn w:val="18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4">
    <w:name w:val="标题 5 字符"/>
    <w:basedOn w:val="18"/>
    <w:link w:val="6"/>
    <w:semiHidden/>
    <w:qFormat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5">
    <w:name w:val="标题 6 字符"/>
    <w:basedOn w:val="18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6">
    <w:name w:val="标题 7 字符"/>
    <w:basedOn w:val="18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8 字符"/>
    <w:basedOn w:val="18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9 字符"/>
    <w:basedOn w:val="18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字符"/>
    <w:basedOn w:val="18"/>
    <w:link w:val="15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0">
    <w:name w:val="副标题 字符"/>
    <w:basedOn w:val="18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1">
    <w:name w:val="Quote"/>
    <w:basedOn w:val="1"/>
    <w:next w:val="1"/>
    <w:link w:val="32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2">
    <w:name w:val="引用 字符"/>
    <w:basedOn w:val="18"/>
    <w:link w:val="31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3">
    <w:name w:val="List Paragraph"/>
    <w:basedOn w:val="1"/>
    <w:qFormat/>
    <w:uiPriority w:val="34"/>
    <w:pPr>
      <w:ind w:left="720"/>
      <w:contextualSpacing/>
    </w:pPr>
  </w:style>
  <w:style w:type="character" w:customStyle="1" w:styleId="34">
    <w:name w:val="Intense Emphasis"/>
    <w:basedOn w:val="18"/>
    <w:qFormat/>
    <w:uiPriority w:val="21"/>
    <w:rPr>
      <w:i/>
      <w:iCs/>
      <w:color w:val="2F5597" w:themeColor="accent1" w:themeShade="BF"/>
    </w:rPr>
  </w:style>
  <w:style w:type="paragraph" w:styleId="35">
    <w:name w:val="Intense Quote"/>
    <w:basedOn w:val="1"/>
    <w:next w:val="1"/>
    <w:link w:val="36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6">
    <w:name w:val="明显引用 字符"/>
    <w:basedOn w:val="18"/>
    <w:link w:val="35"/>
    <w:qFormat/>
    <w:uiPriority w:val="30"/>
    <w:rPr>
      <w:i/>
      <w:iCs/>
      <w:color w:val="2F5597" w:themeColor="accent1" w:themeShade="BF"/>
    </w:rPr>
  </w:style>
  <w:style w:type="character" w:customStyle="1" w:styleId="37">
    <w:name w:val="Intense Reference"/>
    <w:basedOn w:val="18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8">
    <w:name w:val="页眉 字符"/>
    <w:basedOn w:val="18"/>
    <w:link w:val="12"/>
    <w:qFormat/>
    <w:uiPriority w:val="99"/>
    <w:rPr>
      <w:sz w:val="18"/>
      <w:szCs w:val="18"/>
    </w:rPr>
  </w:style>
  <w:style w:type="character" w:customStyle="1" w:styleId="39">
    <w:name w:val="页脚 字符"/>
    <w:basedOn w:val="18"/>
    <w:link w:val="11"/>
    <w:qFormat/>
    <w:uiPriority w:val="99"/>
    <w:rPr>
      <w:sz w:val="18"/>
      <w:szCs w:val="18"/>
    </w:rPr>
  </w:style>
  <w:style w:type="paragraph" w:customStyle="1" w:styleId="40">
    <w:name w:val="Heading1CN"/>
    <w:qFormat/>
    <w:uiPriority w:val="0"/>
    <w:pPr>
      <w:spacing w:after="200" w:line="276" w:lineRule="auto"/>
    </w:pPr>
    <w:rPr>
      <w:rFonts w:ascii="黑体" w:hAnsi="黑体" w:eastAsia="黑体" w:cstheme="minorBidi"/>
      <w:b/>
      <w:kern w:val="0"/>
      <w:sz w:val="32"/>
      <w:szCs w:val="22"/>
      <w:lang w:val="en-US" w:eastAsia="en-US" w:bidi="ar-SA"/>
      <w14:ligatures w14:val="none"/>
    </w:rPr>
  </w:style>
  <w:style w:type="paragraph" w:customStyle="1" w:styleId="41">
    <w:name w:val="HintCN"/>
    <w:qFormat/>
    <w:uiPriority w:val="0"/>
    <w:pPr>
      <w:spacing w:after="200" w:line="276" w:lineRule="auto"/>
    </w:pPr>
    <w:rPr>
      <w:rFonts w:ascii="楷体" w:hAnsi="楷体" w:eastAsia="楷体" w:cstheme="minorBidi"/>
      <w:i/>
      <w:kern w:val="0"/>
      <w:sz w:val="21"/>
      <w:szCs w:val="22"/>
      <w:lang w:val="en-US" w:eastAsia="en-US" w:bidi="ar-SA"/>
      <w14:ligatures w14:val="none"/>
    </w:rPr>
  </w:style>
  <w:style w:type="paragraph" w:customStyle="1" w:styleId="42">
    <w:name w:val="Heading2CN"/>
    <w:qFormat/>
    <w:uiPriority w:val="0"/>
    <w:pPr>
      <w:spacing w:after="200" w:line="276" w:lineRule="auto"/>
    </w:pPr>
    <w:rPr>
      <w:rFonts w:ascii="黑体" w:hAnsi="黑体" w:eastAsia="黑体" w:cstheme="minorBidi"/>
      <w:b/>
      <w:kern w:val="0"/>
      <w:sz w:val="28"/>
      <w:szCs w:val="22"/>
      <w:lang w:val="en-US" w:eastAsia="en-US" w:bidi="ar-SA"/>
      <w14:ligatures w14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BE16AE-F739-4286-8BBE-998C9410CFC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5002</Words>
  <Characters>5752</Characters>
  <Lines>14</Lines>
  <Paragraphs>4</Paragraphs>
  <TotalTime>2</TotalTime>
  <ScaleCrop>false</ScaleCrop>
  <LinksUpToDate>false</LinksUpToDate>
  <CharactersWithSpaces>6275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2026-08-18T05:52:00Z</dcterms:created>
  <dc:creator>艳清 谢</dc:creator>
  <cp:lastModifiedBy>刘运杰(计算机与通信工程学院M202520947)</cp:lastModifiedBy>
  <dcterms:modified xsi:type="dcterms:W3CDTF">2026-08-21T13:13:26Z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eyJoZGlkIjoiYjBlMjc1NDhiZTNiODUxZjRiYjZiMWM2NDhjYjAxYjgiLCJ1c2VySWQiOiIxNzE4MDA1NDQ1In0=</vt:lpwstr>
  </property>
  <property fmtid="{D5CDD505-2E9C-101B-9397-08002B2CF9AE}" pid="3" name="KSOProductBuildVer">
    <vt:lpwstr>2052-12.1.0.20305</vt:lpwstr>
  </property>
  <property fmtid="{D5CDD505-2E9C-101B-9397-08002B2CF9AE}" pid="4" name="ICV">
    <vt:lpwstr>F552D0C4E06A497F823E48B7018CD464_13</vt:lpwstr>
  </property>
</Properties>
</file>