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8FF30A5">
      <w:pPr>
        <w:pStyle w:val="39"/>
      </w:pPr>
      <w:bookmarkStart w:id="0" w:name="_Hlk109741568"/>
      <w:r>
        <w:t xml:space="preserve">ML Class </w:t>
      </w:r>
      <w:r>
        <w:rPr>
          <w:rFonts w:hint="eastAsia"/>
          <w:lang w:val="en-US" w:eastAsia="zh-CN"/>
        </w:rPr>
        <w:t>4-6</w:t>
      </w:r>
      <w:r>
        <w:t xml:space="preserve"> Homework</w:t>
      </w:r>
    </w:p>
    <w:p w14:paraId="7E4518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left"/>
        <w:textAlignment w:val="baseline"/>
      </w:pPr>
      <w:r>
        <w:rPr>
          <w:rFonts w:hint="eastAsia"/>
        </w:rPr>
        <w:t>摘要：</w:t>
      </w:r>
      <w:r>
        <w:rPr>
          <w:rFonts w:hint="eastAsia" w:ascii="Times New Roman" w:hAnsi="Times New Roman" w:eastAsia="仿宋" w:cs="Times New Roman"/>
          <w:sz w:val="24"/>
          <w:lang w:val="en-US" w:eastAsia="zh-CN" w:bidi="ar-SA"/>
        </w:rPr>
        <w:t>第四到六周的课程内容讨论了大模型在化学中的应用。薄层色谱是有机合成中监测反应与筛选洗脱剂的关键手段，但传统方法依赖经验试错、效率低下。因此，在本次作业中尝试构建了一套多 LLM 智能体协作的自动优化系统：解释智能体解读 R</w:t>
      </w:r>
      <w:r>
        <w:rPr>
          <w:rFonts w:hint="eastAsia" w:ascii="Times New Roman" w:hAnsi="Times New Roman" w:eastAsia="仿宋" w:cs="Times New Roman"/>
          <w:sz w:val="24"/>
          <w:vertAlign w:val="subscript"/>
          <w:lang w:val="en-US" w:eastAsia="zh-CN" w:bidi="ar-SA"/>
        </w:rPr>
        <w:t>f</w:t>
      </w:r>
      <w:r>
        <w:rPr>
          <w:rFonts w:hint="eastAsia" w:ascii="Times New Roman" w:hAnsi="Times New Roman" w:eastAsia="仿宋" w:cs="Times New Roman"/>
          <w:sz w:val="24"/>
          <w:lang w:val="en-US" w:eastAsia="zh-CN" w:bidi="ar-SA"/>
        </w:rPr>
        <w:t xml:space="preserve"> 并评估分离效果；组成调优智能体依据极性规则提出新配比；实验智能体将神经网络预测的 R</w:t>
      </w:r>
      <w:r>
        <w:rPr>
          <w:rFonts w:hint="eastAsia" w:ascii="Times New Roman" w:hAnsi="Times New Roman" w:eastAsia="仿宋" w:cs="Times New Roman"/>
          <w:sz w:val="24"/>
          <w:vertAlign w:val="subscript"/>
          <w:lang w:val="en-US" w:eastAsia="zh-CN" w:bidi="ar-SA"/>
        </w:rPr>
        <w:t>f</w:t>
      </w:r>
      <w:r>
        <w:rPr>
          <w:rFonts w:hint="eastAsia" w:ascii="Times New Roman" w:hAnsi="Times New Roman" w:eastAsia="仿宋" w:cs="Times New Roman"/>
          <w:sz w:val="24"/>
          <w:lang w:val="en-US" w:eastAsia="zh-CN" w:bidi="ar-SA"/>
        </w:rPr>
        <w:t xml:space="preserve"> 转为自然语言报告回传，形成“预测–解读–优化”的闭环迭代。以</w:t>
      </w:r>
      <w:bookmarkStart w:id="1" w:name="_GoBack"/>
      <w:bookmarkEnd w:id="1"/>
      <w:r>
        <w:rPr>
          <w:rFonts w:hint="eastAsia" w:ascii="Times New Roman" w:hAnsi="Times New Roman" w:eastAsia="仿宋" w:cs="Times New Roman"/>
          <w:sz w:val="24"/>
          <w:lang w:val="en-US" w:eastAsia="zh-CN" w:bidi="ar-SA"/>
        </w:rPr>
        <w:t xml:space="preserve"> Buchwald–Hartwig 交叉偶联（溴苯→二苯胺）为案例，引入经 Class 3–5 数据训练的神经网络作为 R</w:t>
      </w:r>
      <w:r>
        <w:rPr>
          <w:rFonts w:hint="eastAsia" w:ascii="Times New Roman" w:hAnsi="Times New Roman" w:eastAsia="仿宋" w:cs="Times New Roman"/>
          <w:sz w:val="24"/>
          <w:vertAlign w:val="subscript"/>
          <w:lang w:val="en-US" w:eastAsia="zh-CN" w:bidi="ar-SA"/>
        </w:rPr>
        <w:t>f</w:t>
      </w:r>
      <w:r>
        <w:rPr>
          <w:rFonts w:hint="eastAsia" w:ascii="Times New Roman" w:hAnsi="Times New Roman" w:eastAsia="仿宋" w:cs="Times New Roman"/>
          <w:sz w:val="24"/>
          <w:lang w:val="en-US" w:eastAsia="zh-CN" w:bidi="ar-SA"/>
        </w:rPr>
        <w:t xml:space="preserve"> 模拟器，系统在数轮内自动收敛至产物 R</w:t>
      </w:r>
      <w:r>
        <w:rPr>
          <w:rFonts w:hint="eastAsia" w:ascii="Times New Roman" w:hAnsi="Times New Roman" w:eastAsia="仿宋" w:cs="Times New Roman"/>
          <w:sz w:val="24"/>
          <w:vertAlign w:val="subscript"/>
          <w:lang w:val="en-US" w:eastAsia="zh-CN" w:bidi="ar-SA"/>
        </w:rPr>
        <w:t>f</w:t>
      </w:r>
      <w:r>
        <w:rPr>
          <w:rFonts w:hint="eastAsia" w:ascii="Times New Roman" w:hAnsi="Times New Roman" w:eastAsia="仿宋" w:cs="Times New Roman"/>
          <w:sz w:val="24"/>
          <w:lang w:val="en-US" w:eastAsia="zh-CN" w:bidi="ar-SA"/>
        </w:rPr>
        <w:t>∈[0.2, 0.3] 且 |ΔR</w:t>
      </w:r>
      <w:r>
        <w:rPr>
          <w:rFonts w:hint="eastAsia" w:ascii="Times New Roman" w:hAnsi="Times New Roman" w:eastAsia="仿宋" w:cs="Times New Roman"/>
          <w:sz w:val="24"/>
          <w:vertAlign w:val="subscript"/>
          <w:lang w:val="en-US" w:eastAsia="zh-CN" w:bidi="ar-SA"/>
        </w:rPr>
        <w:t>f</w:t>
      </w:r>
      <w:r>
        <w:rPr>
          <w:rFonts w:hint="eastAsia" w:ascii="Times New Roman" w:hAnsi="Times New Roman" w:eastAsia="仿宋" w:cs="Times New Roman"/>
          <w:sz w:val="24"/>
          <w:lang w:val="en-US" w:eastAsia="zh-CN" w:bidi="ar-SA"/>
        </w:rPr>
        <w:t>|&gt;0.1。该工作验证了“LLM 化学推理+神经网络模拟”联合优化 TLC 实验的可行性。</w:t>
      </w:r>
    </w:p>
    <w:p w14:paraId="1427D0C1">
      <w:pPr>
        <w:pBdr>
          <w:bottom w:val="single" w:color="auto" w:sz="4" w:space="1"/>
        </w:pBdr>
        <w:rPr>
          <w:lang w:eastAsia="zh-CN"/>
        </w:rPr>
      </w:pPr>
    </w:p>
    <w:p w14:paraId="08FDD850">
      <w:pPr>
        <w:rPr>
          <w:lang w:eastAsia="zh-CN"/>
        </w:rPr>
      </w:pPr>
    </w:p>
    <w:p w14:paraId="6E718AB4">
      <w:pPr>
        <w:rPr>
          <w:lang w:eastAsia="zh-CN"/>
        </w:rPr>
        <w:sectPr>
          <w:footerReference r:id="rId4" w:type="default"/>
          <w:footerReference r:id="rId5" w:type="even"/>
          <w:type w:val="continuous"/>
          <w:pgSz w:w="11906" w:h="16838"/>
          <w:pgMar w:top="1440" w:right="1080" w:bottom="1440" w:left="1080" w:header="0" w:footer="0" w:gutter="0"/>
          <w:cols w:space="475" w:num="1"/>
          <w:docGrid w:linePitch="326" w:charSpace="0"/>
        </w:sectPr>
      </w:pPr>
    </w:p>
    <w:bookmarkEnd w:id="0"/>
    <w:p w14:paraId="43BFE04D">
      <w:pPr>
        <w:pStyle w:val="26"/>
        <w:spacing w:after="120"/>
        <w:rPr>
          <w:lang w:eastAsia="zh-CN"/>
        </w:rPr>
      </w:pPr>
      <w:r>
        <w:rPr>
          <w:lang w:eastAsia="zh-CN"/>
        </w:rPr>
        <w:t>Introduction</w:t>
      </w:r>
    </w:p>
    <w:tbl>
      <w:tblPr>
        <w:tblStyle w:val="11"/>
        <w:tblW w:w="10306" w:type="dxa"/>
        <w:jc w:val="center"/>
        <w:tblLayout w:type="autofit"/>
        <w:tblCellMar>
          <w:top w:w="0" w:type="dxa"/>
          <w:left w:w="0" w:type="dxa"/>
          <w:bottom w:w="0" w:type="dxa"/>
          <w:right w:w="0" w:type="dxa"/>
        </w:tblCellMar>
      </w:tblPr>
      <w:tblGrid>
        <w:gridCol w:w="2406"/>
        <w:gridCol w:w="1746"/>
        <w:gridCol w:w="6154"/>
      </w:tblGrid>
      <w:tr w14:paraId="50703065">
        <w:tblPrEx>
          <w:tblCellMar>
            <w:top w:w="0" w:type="dxa"/>
            <w:left w:w="0" w:type="dxa"/>
            <w:bottom w:w="0" w:type="dxa"/>
            <w:right w:w="0" w:type="dxa"/>
          </w:tblCellMar>
        </w:tblPrEx>
        <w:trPr>
          <w:trHeight w:val="0" w:hRule="atLeast"/>
          <w:tblHeader/>
          <w:jc w:val="center"/>
        </w:trPr>
        <w:tc>
          <w:tcPr>
            <w:tcW w:w="2406" w:type="dxa"/>
            <w:tcBorders>
              <w:top w:val="single" w:color="auto" w:sz="12" w:space="0"/>
              <w:left w:val="nil"/>
              <w:bottom w:val="single" w:color="auto" w:sz="4" w:space="0"/>
              <w:right w:val="nil"/>
            </w:tcBorders>
            <w:tcMar>
              <w:left w:w="108" w:type="dxa"/>
              <w:right w:w="108" w:type="dxa"/>
            </w:tcMar>
            <w:vAlign w:val="center"/>
          </w:tcPr>
          <w:p w14:paraId="52AF9C85">
            <w:pPr>
              <w:snapToGrid w:val="0"/>
              <w:ind w:left="0" w:leftChars="0" w:right="0" w:rightChars="0" w:firstLine="0" w:firstLineChars="0"/>
              <w:jc w:val="center"/>
              <w:rPr>
                <w:b/>
              </w:rPr>
            </w:pPr>
            <w:r>
              <w:rPr>
                <w:b/>
              </w:rPr>
              <w:t>库</w:t>
            </w:r>
          </w:p>
        </w:tc>
        <w:tc>
          <w:tcPr>
            <w:tcW w:w="1746" w:type="dxa"/>
            <w:tcBorders>
              <w:top w:val="single" w:color="auto" w:sz="12" w:space="0"/>
              <w:left w:val="nil"/>
              <w:bottom w:val="single" w:color="auto" w:sz="4" w:space="0"/>
              <w:right w:val="nil"/>
            </w:tcBorders>
            <w:tcMar>
              <w:left w:w="108" w:type="dxa"/>
              <w:right w:w="108" w:type="dxa"/>
            </w:tcMar>
            <w:vAlign w:val="center"/>
          </w:tcPr>
          <w:p w14:paraId="340F35F4">
            <w:pPr>
              <w:snapToGrid w:val="0"/>
              <w:ind w:left="0" w:leftChars="0" w:right="0" w:rightChars="0" w:firstLine="0" w:firstLineChars="0"/>
              <w:jc w:val="center"/>
              <w:rPr>
                <w:b/>
              </w:rPr>
            </w:pPr>
            <w:r>
              <w:rPr>
                <w:b/>
              </w:rPr>
              <w:t>类型</w:t>
            </w:r>
          </w:p>
        </w:tc>
        <w:tc>
          <w:tcPr>
            <w:tcW w:w="6154" w:type="dxa"/>
            <w:tcBorders>
              <w:top w:val="single" w:color="auto" w:sz="12" w:space="0"/>
              <w:left w:val="nil"/>
              <w:bottom w:val="single" w:color="auto" w:sz="4" w:space="0"/>
              <w:right w:val="nil"/>
            </w:tcBorders>
            <w:tcMar>
              <w:left w:w="108" w:type="dxa"/>
              <w:right w:w="108" w:type="dxa"/>
            </w:tcMar>
            <w:vAlign w:val="center"/>
          </w:tcPr>
          <w:p w14:paraId="5975872A">
            <w:pPr>
              <w:snapToGrid w:val="0"/>
              <w:ind w:left="0" w:leftChars="0" w:right="0" w:rightChars="0" w:firstLine="0" w:firstLineChars="0"/>
              <w:jc w:val="center"/>
              <w:rPr>
                <w:b/>
              </w:rPr>
            </w:pPr>
            <w:r>
              <w:rPr>
                <w:b/>
              </w:rPr>
              <w:t>作用</w:t>
            </w:r>
          </w:p>
        </w:tc>
      </w:tr>
      <w:tr w14:paraId="5489F899">
        <w:tblPrEx>
          <w:tblCellMar>
            <w:top w:w="0" w:type="dxa"/>
            <w:left w:w="0" w:type="dxa"/>
            <w:bottom w:w="0" w:type="dxa"/>
            <w:right w:w="0" w:type="dxa"/>
          </w:tblCellMar>
        </w:tblPrEx>
        <w:trPr>
          <w:trHeight w:val="0" w:hRule="atLeast"/>
          <w:jc w:val="center"/>
        </w:trPr>
        <w:tc>
          <w:tcPr>
            <w:tcW w:w="2406" w:type="dxa"/>
            <w:tcBorders>
              <w:top w:val="single" w:color="auto" w:sz="4" w:space="0"/>
              <w:left w:val="nil"/>
              <w:bottom w:val="nil"/>
              <w:right w:val="nil"/>
            </w:tcBorders>
            <w:tcMar>
              <w:left w:w="108" w:type="dxa"/>
              <w:right w:w="108" w:type="dxa"/>
            </w:tcMar>
            <w:vAlign w:val="center"/>
          </w:tcPr>
          <w:p w14:paraId="569D7529">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pandas</w:t>
            </w:r>
          </w:p>
        </w:tc>
        <w:tc>
          <w:tcPr>
            <w:tcW w:w="1746" w:type="dxa"/>
            <w:tcBorders>
              <w:top w:val="single" w:color="auto" w:sz="4" w:space="0"/>
              <w:left w:val="nil"/>
              <w:bottom w:val="nil"/>
              <w:right w:val="nil"/>
            </w:tcBorders>
            <w:tcMar>
              <w:left w:w="108" w:type="dxa"/>
              <w:right w:w="108" w:type="dxa"/>
            </w:tcMar>
            <w:vAlign w:val="center"/>
          </w:tcPr>
          <w:p w14:paraId="6B0AEAED">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数据</w:t>
            </w:r>
          </w:p>
        </w:tc>
        <w:tc>
          <w:tcPr>
            <w:tcW w:w="6154" w:type="dxa"/>
            <w:tcBorders>
              <w:top w:val="single" w:color="auto" w:sz="4" w:space="0"/>
              <w:left w:val="nil"/>
              <w:bottom w:val="nil"/>
              <w:right w:val="nil"/>
            </w:tcBorders>
            <w:tcMar>
              <w:left w:w="108" w:type="dxa"/>
              <w:right w:w="108" w:type="dxa"/>
            </w:tcMar>
            <w:vAlign w:val="center"/>
          </w:tcPr>
          <w:p w14:paraId="10060B4C">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pd.read_excel读取TLC_dataset.xlsx</w:t>
            </w:r>
          </w:p>
        </w:tc>
      </w:tr>
      <w:tr w14:paraId="5E7C7B3B">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7EAAFB91">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numpy</w:t>
            </w:r>
          </w:p>
        </w:tc>
        <w:tc>
          <w:tcPr>
            <w:tcW w:w="1746" w:type="dxa"/>
            <w:tcBorders>
              <w:top w:val="nil"/>
              <w:left w:val="nil"/>
              <w:bottom w:val="nil"/>
              <w:right w:val="nil"/>
            </w:tcBorders>
            <w:tcMar>
              <w:left w:w="108" w:type="dxa"/>
              <w:right w:w="108" w:type="dxa"/>
            </w:tcMar>
            <w:vAlign w:val="center"/>
          </w:tcPr>
          <w:p w14:paraId="00BDBC9F">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数值</w:t>
            </w:r>
          </w:p>
        </w:tc>
        <w:tc>
          <w:tcPr>
            <w:tcW w:w="6154" w:type="dxa"/>
            <w:tcBorders>
              <w:top w:val="nil"/>
              <w:left w:val="nil"/>
              <w:bottom w:val="nil"/>
              <w:right w:val="nil"/>
            </w:tcBorders>
            <w:tcMar>
              <w:left w:w="108" w:type="dxa"/>
              <w:right w:w="108" w:type="dxa"/>
            </w:tcMar>
            <w:vAlign w:val="center"/>
          </w:tcPr>
          <w:p w14:paraId="2E8976EC">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神经网络的全部矩阵运算、特征拼接、指标计算</w:t>
            </w:r>
          </w:p>
        </w:tc>
      </w:tr>
      <w:tr w14:paraId="56DF5EE6">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3EB6DB0B">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rdkit</w:t>
            </w:r>
          </w:p>
        </w:tc>
        <w:tc>
          <w:tcPr>
            <w:tcW w:w="1746" w:type="dxa"/>
            <w:tcBorders>
              <w:top w:val="nil"/>
              <w:left w:val="nil"/>
              <w:bottom w:val="nil"/>
              <w:right w:val="nil"/>
            </w:tcBorders>
            <w:tcMar>
              <w:left w:w="108" w:type="dxa"/>
              <w:right w:w="108" w:type="dxa"/>
            </w:tcMar>
            <w:vAlign w:val="center"/>
          </w:tcPr>
          <w:p w14:paraId="148C1FA2">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化学</w:t>
            </w:r>
          </w:p>
        </w:tc>
        <w:tc>
          <w:tcPr>
            <w:tcW w:w="6154" w:type="dxa"/>
            <w:tcBorders>
              <w:top w:val="nil"/>
              <w:left w:val="nil"/>
              <w:bottom w:val="nil"/>
              <w:right w:val="nil"/>
            </w:tcBorders>
            <w:tcMar>
              <w:left w:w="108" w:type="dxa"/>
              <w:right w:w="108" w:type="dxa"/>
            </w:tcMar>
            <w:vAlign w:val="center"/>
          </w:tcPr>
          <w:p w14:paraId="2477A414">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SMILES 解析为分子图、生成 Morgan/ECFP 指纹</w:t>
            </w:r>
          </w:p>
        </w:tc>
      </w:tr>
      <w:tr w14:paraId="168F55F5">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562603FC">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pickle</w:t>
            </w:r>
          </w:p>
        </w:tc>
        <w:tc>
          <w:tcPr>
            <w:tcW w:w="1746" w:type="dxa"/>
            <w:tcBorders>
              <w:top w:val="nil"/>
              <w:left w:val="nil"/>
              <w:bottom w:val="nil"/>
              <w:right w:val="nil"/>
            </w:tcBorders>
            <w:tcMar>
              <w:left w:w="108" w:type="dxa"/>
              <w:right w:w="108" w:type="dxa"/>
            </w:tcMar>
            <w:vAlign w:val="center"/>
          </w:tcPr>
          <w:p w14:paraId="5AC20EE9">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序列化</w:t>
            </w:r>
          </w:p>
        </w:tc>
        <w:tc>
          <w:tcPr>
            <w:tcW w:w="6154" w:type="dxa"/>
            <w:tcBorders>
              <w:top w:val="nil"/>
              <w:left w:val="nil"/>
              <w:bottom w:val="nil"/>
              <w:right w:val="nil"/>
            </w:tcBorders>
            <w:tcMar>
              <w:left w:w="108" w:type="dxa"/>
              <w:right w:w="108" w:type="dxa"/>
            </w:tcMar>
            <w:vAlign w:val="center"/>
          </w:tcPr>
          <w:p w14:paraId="5FC3C1AF">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保存/加载训练好的 MBGDNet 为.pkl</w:t>
            </w:r>
          </w:p>
        </w:tc>
      </w:tr>
      <w:tr w14:paraId="6B95B5EC">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0F4AB396">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os</w:t>
            </w:r>
          </w:p>
        </w:tc>
        <w:tc>
          <w:tcPr>
            <w:tcW w:w="1746" w:type="dxa"/>
            <w:tcBorders>
              <w:top w:val="nil"/>
              <w:left w:val="nil"/>
              <w:bottom w:val="nil"/>
              <w:right w:val="nil"/>
            </w:tcBorders>
            <w:tcMar>
              <w:left w:w="108" w:type="dxa"/>
              <w:right w:w="108" w:type="dxa"/>
            </w:tcMar>
            <w:vAlign w:val="center"/>
          </w:tcPr>
          <w:p w14:paraId="04D06A06">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标准库</w:t>
            </w:r>
          </w:p>
        </w:tc>
        <w:tc>
          <w:tcPr>
            <w:tcW w:w="6154" w:type="dxa"/>
            <w:tcBorders>
              <w:top w:val="nil"/>
              <w:left w:val="nil"/>
              <w:bottom w:val="nil"/>
              <w:right w:val="nil"/>
            </w:tcBorders>
            <w:tcMar>
              <w:left w:w="108" w:type="dxa"/>
              <w:right w:w="108" w:type="dxa"/>
            </w:tcMar>
            <w:vAlign w:val="center"/>
          </w:tcPr>
          <w:p w14:paraId="20E5B62F">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检查模型文件是否存在</w:t>
            </w:r>
          </w:p>
        </w:tc>
      </w:tr>
      <w:tr w14:paraId="4E89D9B6">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0F854968">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json</w:t>
            </w:r>
          </w:p>
        </w:tc>
        <w:tc>
          <w:tcPr>
            <w:tcW w:w="1746" w:type="dxa"/>
            <w:tcBorders>
              <w:top w:val="nil"/>
              <w:left w:val="nil"/>
              <w:bottom w:val="nil"/>
              <w:right w:val="nil"/>
            </w:tcBorders>
            <w:tcMar>
              <w:left w:w="108" w:type="dxa"/>
              <w:right w:w="108" w:type="dxa"/>
            </w:tcMar>
            <w:vAlign w:val="center"/>
          </w:tcPr>
          <w:p w14:paraId="1D7683F1">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标准库</w:t>
            </w:r>
          </w:p>
        </w:tc>
        <w:tc>
          <w:tcPr>
            <w:tcW w:w="6154" w:type="dxa"/>
            <w:tcBorders>
              <w:top w:val="nil"/>
              <w:left w:val="nil"/>
              <w:bottom w:val="nil"/>
              <w:right w:val="nil"/>
            </w:tcBorders>
            <w:tcMar>
              <w:left w:w="108" w:type="dxa"/>
              <w:right w:w="108" w:type="dxa"/>
            </w:tcMar>
            <w:vAlign w:val="center"/>
          </w:tcPr>
          <w:p w14:paraId="4F4055A5">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解析 LLM 返回的 JSON、序列化历史记录</w:t>
            </w:r>
          </w:p>
        </w:tc>
      </w:tr>
      <w:tr w14:paraId="6816620A">
        <w:tblPrEx>
          <w:tblCellMar>
            <w:top w:w="0" w:type="dxa"/>
            <w:left w:w="0" w:type="dxa"/>
            <w:bottom w:w="0" w:type="dxa"/>
            <w:right w:w="0" w:type="dxa"/>
          </w:tblCellMar>
        </w:tblPrEx>
        <w:trPr>
          <w:trHeight w:val="0" w:hRule="atLeast"/>
          <w:jc w:val="center"/>
        </w:trPr>
        <w:tc>
          <w:tcPr>
            <w:tcW w:w="2406" w:type="dxa"/>
            <w:tcBorders>
              <w:top w:val="nil"/>
              <w:left w:val="nil"/>
              <w:bottom w:val="nil"/>
              <w:right w:val="nil"/>
            </w:tcBorders>
            <w:tcMar>
              <w:left w:w="108" w:type="dxa"/>
              <w:right w:w="108" w:type="dxa"/>
            </w:tcMar>
            <w:vAlign w:val="center"/>
          </w:tcPr>
          <w:p w14:paraId="7855AF99">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PyYAML</w:t>
            </w:r>
          </w:p>
        </w:tc>
        <w:tc>
          <w:tcPr>
            <w:tcW w:w="1746" w:type="dxa"/>
            <w:tcBorders>
              <w:top w:val="nil"/>
              <w:left w:val="nil"/>
              <w:bottom w:val="nil"/>
              <w:right w:val="nil"/>
            </w:tcBorders>
            <w:tcMar>
              <w:left w:w="108" w:type="dxa"/>
              <w:right w:w="108" w:type="dxa"/>
            </w:tcMar>
            <w:vAlign w:val="center"/>
          </w:tcPr>
          <w:p w14:paraId="03A9BCC6">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配置</w:t>
            </w:r>
          </w:p>
        </w:tc>
        <w:tc>
          <w:tcPr>
            <w:tcW w:w="6154" w:type="dxa"/>
            <w:tcBorders>
              <w:top w:val="nil"/>
              <w:left w:val="nil"/>
              <w:bottom w:val="nil"/>
              <w:right w:val="nil"/>
            </w:tcBorders>
            <w:tcMar>
              <w:left w:w="108" w:type="dxa"/>
              <w:right w:w="108" w:type="dxa"/>
            </w:tcMar>
            <w:vAlign w:val="center"/>
          </w:tcPr>
          <w:p w14:paraId="13A1253D">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加载agent_prompts.yaml中的 system prompt</w:t>
            </w:r>
          </w:p>
        </w:tc>
      </w:tr>
      <w:tr w14:paraId="01648F1E">
        <w:tblPrEx>
          <w:tblCellMar>
            <w:top w:w="0" w:type="dxa"/>
            <w:left w:w="0" w:type="dxa"/>
            <w:bottom w:w="0" w:type="dxa"/>
            <w:right w:w="0" w:type="dxa"/>
          </w:tblCellMar>
        </w:tblPrEx>
        <w:trPr>
          <w:trHeight w:val="0" w:hRule="atLeast"/>
          <w:jc w:val="center"/>
        </w:trPr>
        <w:tc>
          <w:tcPr>
            <w:tcW w:w="2406" w:type="dxa"/>
            <w:tcBorders>
              <w:top w:val="nil"/>
              <w:left w:val="nil"/>
              <w:bottom w:val="single" w:color="auto" w:sz="4" w:space="0"/>
              <w:right w:val="nil"/>
            </w:tcBorders>
            <w:tcMar>
              <w:left w:w="108" w:type="dxa"/>
              <w:right w:w="108" w:type="dxa"/>
            </w:tcMar>
            <w:vAlign w:val="center"/>
          </w:tcPr>
          <w:p w14:paraId="2BC0B7A6">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openai</w:t>
            </w:r>
          </w:p>
        </w:tc>
        <w:tc>
          <w:tcPr>
            <w:tcW w:w="1746" w:type="dxa"/>
            <w:tcBorders>
              <w:top w:val="nil"/>
              <w:left w:val="nil"/>
              <w:bottom w:val="single" w:color="auto" w:sz="4" w:space="0"/>
              <w:right w:val="nil"/>
            </w:tcBorders>
            <w:tcMar>
              <w:left w:w="108" w:type="dxa"/>
              <w:right w:w="108" w:type="dxa"/>
            </w:tcMar>
            <w:vAlign w:val="center"/>
          </w:tcPr>
          <w:p w14:paraId="738EBC5F">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LLM 客户端</w:t>
            </w:r>
          </w:p>
        </w:tc>
        <w:tc>
          <w:tcPr>
            <w:tcW w:w="6154" w:type="dxa"/>
            <w:tcBorders>
              <w:top w:val="nil"/>
              <w:left w:val="nil"/>
              <w:bottom w:val="single" w:color="auto" w:sz="4" w:space="0"/>
              <w:right w:val="nil"/>
            </w:tcBorders>
            <w:tcMar>
              <w:left w:w="108" w:type="dxa"/>
              <w:right w:w="108" w:type="dxa"/>
            </w:tcMar>
            <w:vAlign w:val="center"/>
          </w:tcPr>
          <w:p w14:paraId="31BF84F2">
            <w:pPr>
              <w:snapToGrid w:val="0"/>
              <w:ind w:left="0" w:leftChars="0" w:right="0" w:rightChars="0" w:firstLine="0" w:firstLineChars="0"/>
              <w:jc w:val="center"/>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调用 LLM 的官方 SDK，封装 HTTP 请求</w:t>
            </w:r>
          </w:p>
        </w:tc>
      </w:tr>
    </w:tbl>
    <w:p w14:paraId="7F4C6B31">
      <w:pPr>
        <w:pStyle w:val="16"/>
        <w:bidi w:val="0"/>
        <w:rPr>
          <w:rFonts w:hint="eastAsia"/>
          <w:lang w:val="en-US" w:eastAsia="zh-CN"/>
        </w:rPr>
      </w:pPr>
      <w:r>
        <w:rPr>
          <w:rFonts w:hint="eastAsia"/>
          <w:lang w:val="en-US" w:eastAsia="zh-CN"/>
        </w:rPr>
        <w:t>主要可分为下面两种类别：</w:t>
      </w:r>
    </w:p>
    <w:p w14:paraId="7537E154">
      <w:pPr>
        <w:pStyle w:val="16"/>
        <w:bidi w:val="0"/>
        <w:rPr>
          <w:rFonts w:hint="eastAsia"/>
          <w:lang w:val="en-US" w:eastAsia="zh-CN"/>
        </w:rPr>
      </w:pPr>
      <w:r>
        <w:rPr>
          <w:rFonts w:hint="eastAsia"/>
          <w:lang w:val="en-US" w:eastAsia="zh-CN"/>
        </w:rPr>
        <w:t>科学计算 / 化学，pandas 读取数据集，rdkit 将SMILES 转分子指纹，numpy 进行神经网络全部矩阵运算，pickle 用以保存模型——共同搭建 TLC R</w:t>
      </w:r>
      <w:r>
        <w:rPr>
          <w:rFonts w:hint="eastAsia"/>
          <w:vertAlign w:val="subscript"/>
          <w:lang w:val="en-US" w:eastAsia="zh-CN"/>
        </w:rPr>
        <w:t>f</w:t>
      </w:r>
      <w:r>
        <w:rPr>
          <w:rFonts w:hint="eastAsia"/>
          <w:lang w:val="en-US" w:eastAsia="zh-CN"/>
        </w:rPr>
        <w:t xml:space="preserve"> 模拟器。</w:t>
      </w:r>
    </w:p>
    <w:p w14:paraId="04662486">
      <w:pPr>
        <w:pStyle w:val="16"/>
        <w:bidi w:val="0"/>
        <w:rPr>
          <w:rFonts w:hint="default"/>
          <w:lang w:val="en-US" w:eastAsia="zh-CN"/>
        </w:rPr>
      </w:pPr>
      <w:r>
        <w:rPr>
          <w:rFonts w:hint="eastAsia"/>
          <w:lang w:val="en-US" w:eastAsia="zh-CN"/>
        </w:rPr>
        <w:t>LLM 通信：openai SDK 经 httpx 发 HTTP 请求至兼容服务，驱动三个智能体闭环协作。</w:t>
      </w:r>
    </w:p>
    <w:p w14:paraId="565C4CD3">
      <w:pPr>
        <w:pStyle w:val="26"/>
        <w:spacing w:after="120"/>
        <w:rPr>
          <w:rFonts w:hint="eastAsia"/>
          <w:lang w:eastAsia="zh-CN"/>
        </w:rPr>
      </w:pPr>
    </w:p>
    <w:p w14:paraId="1A83422A">
      <w:pPr>
        <w:pStyle w:val="26"/>
        <w:spacing w:after="120"/>
        <w:rPr>
          <w:lang w:eastAsia="zh-CN"/>
        </w:rPr>
      </w:pPr>
      <w:r>
        <w:rPr>
          <w:rFonts w:hint="eastAsia"/>
          <w:lang w:eastAsia="zh-CN"/>
        </w:rPr>
        <w:t>P</w:t>
      </w:r>
      <w:r>
        <w:rPr>
          <w:lang w:eastAsia="zh-CN"/>
        </w:rPr>
        <w:t xml:space="preserve">roblem 1: </w:t>
      </w:r>
      <w:r>
        <w:rPr>
          <w:rFonts w:hint="default"/>
          <w:lang w:eastAsia="zh-CN"/>
        </w:rPr>
        <w:t>构建多智能体TLC洗脱剂优化应用</w:t>
      </w:r>
    </w:p>
    <w:p w14:paraId="4549A2BF">
      <w:pPr>
        <w:pStyle w:val="16"/>
        <w:bidi w:val="0"/>
        <w:rPr>
          <w:rFonts w:hint="eastAsia"/>
          <w:lang w:eastAsia="zh-CN"/>
        </w:rPr>
      </w:pPr>
      <w:r>
        <w:rPr>
          <w:rFonts w:hint="eastAsia"/>
          <w:lang w:eastAsia="zh-CN"/>
        </w:rPr>
        <w:t>薄层色谱（TLC）是化学家最常用的工具之一，用于快速判断反应进程并选择合适的洗脱剂进行纯化。在实际操作中，化学家通常会迭代调整洗脱剂组成，直到目标产物出现在一个有用的R</w:t>
      </w:r>
      <w:r>
        <w:rPr>
          <w:rFonts w:hint="eastAsia"/>
          <w:vertAlign w:val="subscript"/>
          <w:lang w:eastAsia="zh-CN"/>
        </w:rPr>
        <w:t>f</w:t>
      </w:r>
      <w:r>
        <w:rPr>
          <w:rFonts w:hint="eastAsia"/>
          <w:lang w:eastAsia="zh-CN"/>
        </w:rPr>
        <w:t>窗口内，并且与反应物或副产物充分分离。但传统方法依赖经验试错、效率</w:t>
      </w:r>
      <w:r>
        <w:rPr>
          <w:rFonts w:hint="eastAsia"/>
          <w:lang w:val="en-US" w:eastAsia="zh-CN"/>
        </w:rPr>
        <w:t>较低</w:t>
      </w:r>
      <w:r>
        <w:rPr>
          <w:rFonts w:hint="eastAsia"/>
          <w:lang w:eastAsia="zh-CN"/>
        </w:rPr>
        <w:t>。</w:t>
      </w:r>
    </w:p>
    <w:p w14:paraId="52D3851F">
      <w:pPr>
        <w:pStyle w:val="16"/>
        <w:bidi w:val="0"/>
        <w:rPr>
          <w:rFonts w:hint="eastAsia"/>
          <w:lang w:eastAsia="zh-CN"/>
        </w:rPr>
      </w:pPr>
      <w:r>
        <w:rPr>
          <w:rFonts w:hint="eastAsia"/>
          <w:lang w:val="en-US" w:eastAsia="zh-CN"/>
        </w:rPr>
        <w:t>故我们尝试</w:t>
      </w:r>
      <w:r>
        <w:rPr>
          <w:rFonts w:hint="eastAsia"/>
          <w:lang w:eastAsia="zh-CN"/>
        </w:rPr>
        <w:t>构建一个多智能体应用，模拟化学家对TLC优化的推理过程。由于没有TLC实验装置，我们使用之前作业中训练的模型作为TLC模拟器，以获取给定分子和洗脱剂组成下的实验TLC R</w:t>
      </w:r>
      <w:r>
        <w:rPr>
          <w:rFonts w:hint="eastAsia"/>
          <w:vertAlign w:val="subscript"/>
          <w:lang w:eastAsia="zh-CN"/>
        </w:rPr>
        <w:t>f</w:t>
      </w:r>
      <w:r>
        <w:rPr>
          <w:rFonts w:hint="eastAsia"/>
          <w:lang w:eastAsia="zh-CN"/>
        </w:rPr>
        <w:t>值。该应用将接受一个反应SMILES，识别反应物和产物，然后使用三个协作智能体迭代搜索更优的TLC洗脱剂组成。</w:t>
      </w:r>
    </w:p>
    <w:p w14:paraId="6CC5B3BF">
      <w:pPr>
        <w:pStyle w:val="16"/>
        <w:bidi w:val="0"/>
        <w:rPr>
          <w:rFonts w:hint="eastAsia"/>
          <w:lang w:eastAsia="zh-CN"/>
        </w:rPr>
      </w:pPr>
    </w:p>
    <w:p w14:paraId="0CDC92B8">
      <w:pPr>
        <w:pStyle w:val="16"/>
        <w:bidi w:val="0"/>
        <w:ind w:left="0" w:leftChars="0" w:firstLine="0" w:firstLineChars="0"/>
        <w:rPr>
          <w:rFonts w:hint="eastAsia" w:ascii="Times New Roman" w:hAnsi="Times New Roman" w:cs="Times New Roman" w:eastAsiaTheme="minorEastAsia"/>
          <w:b/>
          <w:sz w:val="28"/>
          <w:lang w:val="en-US" w:eastAsia="zh-CN" w:bidi="ar-SA"/>
        </w:rPr>
      </w:pPr>
      <w:r>
        <w:rPr>
          <w:rFonts w:hint="eastAsia" w:ascii="Times New Roman" w:hAnsi="Times New Roman" w:cs="Times New Roman" w:eastAsiaTheme="minorEastAsia"/>
          <w:b/>
          <w:sz w:val="28"/>
          <w:lang w:val="en-US" w:eastAsia="zh-CN" w:bidi="ar-SA"/>
        </w:rPr>
        <w:t>Q1: 构建三个智能体</w:t>
      </w:r>
    </w:p>
    <w:p w14:paraId="369B2C20">
      <w:pPr>
        <w:pStyle w:val="16"/>
        <w:bidi w:val="0"/>
        <w:rPr>
          <w:rFonts w:hint="eastAsia" w:eastAsiaTheme="minorEastAsia"/>
          <w:lang w:eastAsia="zh-CN"/>
        </w:rPr>
      </w:pPr>
      <w:r>
        <w:rPr>
          <w:rFonts w:hint="eastAsia"/>
        </w:rPr>
        <w:t>使用大语言模型API实现以下三个智能体</w:t>
      </w:r>
      <w:r>
        <w:rPr>
          <w:rFonts w:hint="eastAsia"/>
          <w:lang w:eastAsia="zh-CN"/>
        </w:rPr>
        <w:t>：</w:t>
      </w:r>
    </w:p>
    <w:p w14:paraId="776AA87B">
      <w:pPr>
        <w:pStyle w:val="35"/>
        <w:bidi w:val="0"/>
        <w:rPr>
          <w:rFonts w:hint="eastAsia"/>
        </w:rPr>
      </w:pPr>
      <w:r>
        <w:rPr>
          <w:rFonts w:hint="eastAsia"/>
        </w:rPr>
        <w:t>智能体1：解释智能体（Explanation Agent）</w:t>
      </w:r>
    </w:p>
    <w:p w14:paraId="48419039">
      <w:pPr>
        <w:pStyle w:val="16"/>
        <w:bidi w:val="0"/>
        <w:rPr>
          <w:rFonts w:hint="eastAsia"/>
        </w:rPr>
      </w:pPr>
      <w:r>
        <w:rPr>
          <w:rFonts w:hint="eastAsia"/>
        </w:rPr>
        <w:t>该智能体读取当前TLC实验结果并进行解释：1）当前TLF结果在化学上意味着什么；2）判断分离效果是否足够好。</w:t>
      </w:r>
    </w:p>
    <w:p w14:paraId="2579F152">
      <w:pPr>
        <w:pStyle w:val="16"/>
        <w:bidi w:val="0"/>
        <w:rPr>
          <w:rFonts w:hint="eastAsia"/>
        </w:rPr>
      </w:pPr>
    </w:p>
    <w:p w14:paraId="7721EEEE">
      <w:pPr>
        <w:pStyle w:val="35"/>
        <w:bidi w:val="0"/>
        <w:rPr>
          <w:rFonts w:hint="eastAsia"/>
        </w:rPr>
      </w:pPr>
      <w:r>
        <w:rPr>
          <w:rFonts w:hint="eastAsia"/>
        </w:rPr>
        <w:t>智能体2：组成调优智能体（Composition Tuning Agent）</w:t>
      </w:r>
    </w:p>
    <w:p w14:paraId="64F49C37">
      <w:pPr>
        <w:pStyle w:val="16"/>
        <w:bidi w:val="0"/>
        <w:rPr>
          <w:rFonts w:hint="eastAsia"/>
        </w:rPr>
      </w:pPr>
      <w:r>
        <w:rPr>
          <w:rFonts w:hint="eastAsia"/>
        </w:rPr>
        <w:t>该智能体根据解释智能体提供的结果和TLC原理，提出下一次尝试的洗脱剂组成。其任务是推理改变溶剂极性将如何影响R</w:t>
      </w:r>
      <w:r>
        <w:rPr>
          <w:rFonts w:hint="eastAsia"/>
          <w:vertAlign w:val="subscript"/>
        </w:rPr>
        <w:t>f</w:t>
      </w:r>
      <w:r>
        <w:rPr>
          <w:rFonts w:hint="eastAsia"/>
        </w:rPr>
        <w:t>值和分离效果。</w:t>
      </w:r>
    </w:p>
    <w:p w14:paraId="4093EFA6">
      <w:pPr>
        <w:pStyle w:val="16"/>
        <w:bidi w:val="0"/>
        <w:rPr>
          <w:rFonts w:hint="eastAsia"/>
        </w:rPr>
      </w:pPr>
      <w:r>
        <w:rPr>
          <w:rFonts w:hint="eastAsia"/>
        </w:rPr>
        <w:t>如果产物R</w:t>
      </w:r>
      <w:r>
        <w:rPr>
          <w:rFonts w:hint="eastAsia"/>
          <w:vertAlign w:val="subscript"/>
        </w:rPr>
        <w:t>f</w:t>
      </w:r>
      <w:r>
        <w:rPr>
          <w:rFonts w:hint="eastAsia"/>
        </w:rPr>
        <w:t>值过低，智能体可以提高洗脱剂极性；</w:t>
      </w:r>
    </w:p>
    <w:p w14:paraId="76212865">
      <w:pPr>
        <w:pStyle w:val="16"/>
        <w:bidi w:val="0"/>
        <w:rPr>
          <w:rFonts w:hint="eastAsia"/>
        </w:rPr>
      </w:pPr>
      <w:r>
        <w:rPr>
          <w:rFonts w:hint="eastAsia"/>
        </w:rPr>
        <w:t>如果产物R</w:t>
      </w:r>
      <w:r>
        <w:rPr>
          <w:rFonts w:hint="eastAsia"/>
          <w:vertAlign w:val="subscript"/>
        </w:rPr>
        <w:t>f</w:t>
      </w:r>
      <w:r>
        <w:rPr>
          <w:rFonts w:hint="eastAsia"/>
        </w:rPr>
        <w:t>值过高，智能体可以降低洗脱剂极性；</w:t>
      </w:r>
    </w:p>
    <w:p w14:paraId="03FC7950">
      <w:pPr>
        <w:pStyle w:val="16"/>
        <w:bidi w:val="0"/>
        <w:rPr>
          <w:rFonts w:hint="eastAsia"/>
        </w:rPr>
      </w:pPr>
      <w:r>
        <w:rPr>
          <w:rFonts w:hint="eastAsia"/>
        </w:rPr>
        <w:t>如果产物与某一反应物距离过近，智能体应尝试通过调整组成来改善分离。</w:t>
      </w:r>
    </w:p>
    <w:p w14:paraId="0B140E9E">
      <w:pPr>
        <w:pStyle w:val="16"/>
        <w:bidi w:val="0"/>
        <w:rPr>
          <w:rFonts w:hint="eastAsia"/>
        </w:rPr>
      </w:pPr>
      <w:r>
        <w:rPr>
          <w:rFonts w:hint="eastAsia"/>
        </w:rPr>
        <w:t>输出下一个候选洗脱剂组成。</w:t>
      </w:r>
    </w:p>
    <w:p w14:paraId="08EB78BF">
      <w:pPr>
        <w:pStyle w:val="16"/>
        <w:bidi w:val="0"/>
        <w:rPr>
          <w:rFonts w:hint="eastAsia"/>
        </w:rPr>
      </w:pPr>
    </w:p>
    <w:p w14:paraId="0C9BE6B1">
      <w:pPr>
        <w:pStyle w:val="35"/>
        <w:bidi w:val="0"/>
        <w:rPr>
          <w:rFonts w:hint="eastAsia"/>
        </w:rPr>
      </w:pPr>
      <w:r>
        <w:rPr>
          <w:rFonts w:hint="eastAsia"/>
        </w:rPr>
        <w:t>智能体3：实验智能体（Experimentation Agent）</w:t>
      </w:r>
    </w:p>
    <w:p w14:paraId="09A5A370">
      <w:pPr>
        <w:pStyle w:val="16"/>
        <w:spacing w:after="120"/>
        <w:ind w:firstLine="480"/>
        <w:rPr>
          <w:rFonts w:hint="eastAsia"/>
        </w:rPr>
      </w:pPr>
      <w:r>
        <w:rPr>
          <w:rFonts w:hint="eastAsia"/>
        </w:rPr>
        <w:t>首先，TLC模拟模型使用提议的洗脱剂组成来模拟实验。该智能体获取模拟的TLC结果，然后将结果整理为自然语言形式，用于发送给解释智能体。</w:t>
      </w:r>
    </w:p>
    <w:p w14:paraId="3F6F86D1">
      <w:pPr>
        <w:pStyle w:val="16"/>
        <w:spacing w:after="120"/>
        <w:ind w:left="0" w:leftChars="0" w:firstLine="0" w:firstLineChars="0"/>
        <w:rPr>
          <w:rFonts w:hint="eastAsia"/>
        </w:rPr>
      </w:pPr>
    </w:p>
    <w:p w14:paraId="70E218AD">
      <w:pPr>
        <w:pStyle w:val="16"/>
        <w:spacing w:after="120"/>
        <w:ind w:left="0" w:leftChars="0" w:firstLine="480" w:firstLineChars="200"/>
        <w:rPr>
          <w:rFonts w:hint="eastAsia"/>
          <w:lang w:val="en-US" w:eastAsia="zh-CN"/>
        </w:rPr>
      </w:pPr>
      <w:r>
        <w:rPr>
          <w:rFonts w:hint="eastAsia"/>
          <w:lang w:eastAsia="zh-CN"/>
        </w:rPr>
        <w:t>驱动 TLC 多智能体系统的底层大模型必须具备化学专业知识、结构化推理、工具调用与多智能体协同的复合能力：一方面，它需要深度理解薄层色谱的分离机理、溶剂极性梯度及分子–固定相相互作用，从而基于反应 SMILES 解析出的官能团特征对 R</w:t>
      </w:r>
      <w:r>
        <w:rPr>
          <w:rFonts w:hint="eastAsia"/>
          <w:vertAlign w:val="subscript"/>
          <w:lang w:eastAsia="zh-CN"/>
        </w:rPr>
        <w:t>f</w:t>
      </w:r>
      <w:r>
        <w:rPr>
          <w:rFonts w:hint="eastAsia"/>
          <w:lang w:eastAsia="zh-CN"/>
        </w:rPr>
        <w:t xml:space="preserve"> 变化趋势做出可解释的定性判断；另一方面，它必须支持严格的函数调用与数值计算，以精确操作 RDKit 等化学工具包和 TLC 模拟器 API，并在迭代优化中执行假设–验证–回溯的链式推理，实现从粗筛到细调的系统性搜索。此外，模型还需具备清晰的角色意识，能在化学分析师、策略规划师与实验评估员之间切换，依托共享记忆进行信息同步与冲突协商，同时通过显式的思维链输出其决策依据，确保优化过程透明、可控且具备化学合理性。</w:t>
      </w:r>
      <w:r>
        <w:rPr>
          <w:rFonts w:hint="eastAsia"/>
          <w:lang w:val="en-US" w:eastAsia="zh-CN"/>
        </w:rPr>
        <w:t>故结合上述因素及考虑成本，我们选择</w:t>
      </w:r>
      <w:r>
        <w:rPr>
          <w:rFonts w:hint="eastAsia"/>
          <w:lang w:eastAsia="zh-CN"/>
        </w:rPr>
        <w:t>qwen3.5-397b-a17b</w:t>
      </w:r>
      <w:r>
        <w:rPr>
          <w:rFonts w:hint="eastAsia"/>
          <w:lang w:val="en-US" w:eastAsia="zh-CN"/>
        </w:rPr>
        <w:t>模型。</w:t>
      </w:r>
    </w:p>
    <w:p w14:paraId="683B66E5">
      <w:pPr>
        <w:pStyle w:val="16"/>
        <w:spacing w:after="120"/>
        <w:rPr>
          <w:rFonts w:hint="eastAsia"/>
          <w:lang w:val="en-US" w:eastAsia="zh-CN"/>
        </w:rPr>
      </w:pPr>
      <w:r>
        <w:rPr>
          <w:rFonts w:hint="eastAsia"/>
          <w:lang w:val="en-US" w:eastAsia="zh-CN"/>
        </w:rPr>
        <w:t>对三个智能体用COC1=CC(Cl)=CC=C1/COC1=CC=CC=C1进行智能体1—&gt;2—&gt;3串联的工作流测试，得到回答如下</w:t>
      </w:r>
    </w:p>
    <w:p w14:paraId="072456CD">
      <w:pPr>
        <w:pStyle w:val="16"/>
        <w:spacing w:after="120"/>
        <w:rPr>
          <w:rFonts w:hint="eastAsia"/>
          <w:lang w:val="en-US" w:eastAsia="zh-CN"/>
        </w:rPr>
      </w:pPr>
      <w:r>
        <w:rPr>
          <w:rFonts w:hint="eastAsia"/>
          <w:lang w:val="en-US" w:eastAsia="zh-CN"/>
        </w:rPr>
        <w:t>智能体1：{  "separation_assessment": "Task acknowledged: separate 4-chloroanisole (product) from anisole (reactant). The product has a chlorine substituent on the aromatic ring, making it slightly more polar than the unsubstituted anisole due to the electron-withdrawing Cl group. However, both are relatively non-polar aromatic ethers. The polarity difference is modest—Cl increases polarity slightly but both compounds lack strong hydrogen bond donors. This will require careful eluent tuning for baseline separation.",</w:t>
      </w:r>
    </w:p>
    <w:p w14:paraId="68230908">
      <w:pPr>
        <w:pStyle w:val="16"/>
        <w:spacing w:after="120"/>
        <w:ind w:left="0" w:leftChars="0" w:firstLine="480" w:firstLineChars="200"/>
        <w:rPr>
          <w:rFonts w:hint="eastAsia"/>
          <w:lang w:val="en-US" w:eastAsia="zh-CN"/>
        </w:rPr>
      </w:pPr>
      <w:r>
        <w:rPr>
          <w:rFonts w:hint="eastAsia"/>
          <w:lang w:val="en-US" w:eastAsia="zh-CN"/>
        </w:rPr>
        <w:t xml:space="preserve">  "meets_product_rf_target": false,</w:t>
      </w:r>
    </w:p>
    <w:p w14:paraId="18970F4D">
      <w:pPr>
        <w:pStyle w:val="16"/>
        <w:spacing w:after="120"/>
        <w:ind w:left="0" w:leftChars="0" w:firstLine="480" w:firstLineChars="200"/>
        <w:rPr>
          <w:rFonts w:hint="eastAsia"/>
          <w:lang w:val="en-US" w:eastAsia="zh-CN"/>
        </w:rPr>
      </w:pPr>
      <w:r>
        <w:rPr>
          <w:rFonts w:hint="eastAsia"/>
          <w:lang w:val="en-US" w:eastAsia="zh-CN"/>
        </w:rPr>
        <w:t xml:space="preserve">  "meets_separation_target": false,</w:t>
      </w:r>
    </w:p>
    <w:p w14:paraId="519FF5C6">
      <w:pPr>
        <w:pStyle w:val="16"/>
        <w:spacing w:after="120"/>
        <w:ind w:left="0" w:leftChars="0" w:firstLine="480" w:firstLineChars="200"/>
        <w:rPr>
          <w:rFonts w:hint="eastAsia"/>
          <w:lang w:val="en-US" w:eastAsia="zh-CN"/>
        </w:rPr>
      </w:pPr>
      <w:r>
        <w:rPr>
          <w:rFonts w:hint="eastAsia"/>
          <w:lang w:val="en-US" w:eastAsia="zh-CN"/>
        </w:rPr>
        <w:t xml:space="preserve">  "overall_status": "not_acceptable",</w:t>
      </w:r>
    </w:p>
    <w:p w14:paraId="2622FE56">
      <w:pPr>
        <w:pStyle w:val="16"/>
        <w:spacing w:after="120"/>
        <w:ind w:left="0" w:leftChars="0" w:firstLine="480" w:firstLineChars="200"/>
        <w:rPr>
          <w:rFonts w:hint="eastAsia"/>
          <w:lang w:val="en-US" w:eastAsia="zh-CN"/>
        </w:rPr>
      </w:pPr>
      <w:r>
        <w:rPr>
          <w:rFonts w:hint="eastAsia"/>
          <w:lang w:val="en-US" w:eastAsia="zh-CN"/>
        </w:rPr>
        <w:t xml:space="preserve">  "next_step_guidance": "Propose a starting eluent composition with moderate polarity. Given both compounds are relatively non-polar aromatic ethers, begin with a hexane-rich mixture (e.g., 10-20% ethyl acetate in hexane). This should give Rf values in a measurable range without excessive streaking or retention at the baseline. The Composition Tuning Agent should suggest a specific starting point for initial screening."}</w:t>
      </w:r>
    </w:p>
    <w:p w14:paraId="6AF2F5EC">
      <w:pPr>
        <w:pStyle w:val="16"/>
        <w:spacing w:after="120"/>
        <w:ind w:left="0" w:leftChars="0" w:firstLine="480" w:firstLineChars="200"/>
        <w:rPr>
          <w:rFonts w:hint="eastAsia"/>
          <w:lang w:val="en-US" w:eastAsia="zh-CN"/>
        </w:rPr>
      </w:pPr>
    </w:p>
    <w:p w14:paraId="4B8A6C9C">
      <w:pPr>
        <w:pStyle w:val="16"/>
        <w:spacing w:after="120"/>
        <w:rPr>
          <w:rFonts w:hint="eastAsia"/>
          <w:lang w:val="en-US" w:eastAsia="zh-CN"/>
        </w:rPr>
      </w:pPr>
      <w:r>
        <w:rPr>
          <w:rFonts w:hint="eastAsia"/>
          <w:lang w:val="en-US" w:eastAsia="zh-CN"/>
        </w:rPr>
        <w:t>智能体2：{</w:t>
      </w:r>
    </w:p>
    <w:p w14:paraId="75D01E89">
      <w:pPr>
        <w:pStyle w:val="16"/>
        <w:spacing w:after="120"/>
        <w:ind w:left="0" w:leftChars="0" w:firstLine="480" w:firstLineChars="200"/>
        <w:rPr>
          <w:rFonts w:hint="eastAsia"/>
          <w:lang w:val="en-US" w:eastAsia="zh-CN"/>
        </w:rPr>
      </w:pPr>
      <w:r>
        <w:rPr>
          <w:rFonts w:hint="eastAsia"/>
          <w:lang w:val="en-US" w:eastAsia="zh-CN"/>
        </w:rPr>
        <w:t xml:space="preserve">  "proposed_eluent": {</w:t>
      </w:r>
    </w:p>
    <w:p w14:paraId="1D3F1F53">
      <w:pPr>
        <w:pStyle w:val="16"/>
        <w:spacing w:after="120"/>
        <w:ind w:left="0" w:leftChars="0" w:firstLine="480" w:firstLineChars="200"/>
        <w:rPr>
          <w:rFonts w:hint="eastAsia"/>
          <w:lang w:val="en-US" w:eastAsia="zh-CN"/>
        </w:rPr>
      </w:pPr>
      <w:r>
        <w:rPr>
          <w:rFonts w:hint="eastAsia"/>
          <w:lang w:val="en-US" w:eastAsia="zh-CN"/>
        </w:rPr>
        <w:t xml:space="preserve">    "hexane": 85,</w:t>
      </w:r>
    </w:p>
    <w:p w14:paraId="223F2A5F">
      <w:pPr>
        <w:pStyle w:val="16"/>
        <w:spacing w:after="120"/>
        <w:ind w:left="0" w:leftChars="0" w:firstLine="480" w:firstLineChars="200"/>
        <w:rPr>
          <w:rFonts w:hint="eastAsia"/>
          <w:lang w:val="en-US" w:eastAsia="zh-CN"/>
        </w:rPr>
      </w:pPr>
      <w:r>
        <w:rPr>
          <w:rFonts w:hint="eastAsia"/>
          <w:lang w:val="en-US" w:eastAsia="zh-CN"/>
        </w:rPr>
        <w:t xml:space="preserve">    "ethyl_acetate": 15</w:t>
      </w:r>
    </w:p>
    <w:p w14:paraId="356D201A">
      <w:pPr>
        <w:pStyle w:val="16"/>
        <w:spacing w:after="120"/>
        <w:ind w:left="0" w:leftChars="0" w:firstLine="480" w:firstLineChars="200"/>
        <w:rPr>
          <w:rFonts w:hint="eastAsia"/>
          <w:lang w:val="en-US" w:eastAsia="zh-CN"/>
        </w:rPr>
      </w:pPr>
      <w:r>
        <w:rPr>
          <w:rFonts w:hint="eastAsia"/>
          <w:lang w:val="en-US" w:eastAsia="zh-CN"/>
        </w:rPr>
        <w:t xml:space="preserve">  },</w:t>
      </w:r>
    </w:p>
    <w:p w14:paraId="3E216FCA">
      <w:pPr>
        <w:pStyle w:val="16"/>
        <w:spacing w:after="120"/>
        <w:ind w:left="0" w:leftChars="0" w:firstLine="480" w:firstLineChars="200"/>
        <w:rPr>
          <w:rFonts w:hint="eastAsia"/>
          <w:lang w:val="en-US" w:eastAsia="zh-CN"/>
        </w:rPr>
      </w:pPr>
      <w:r>
        <w:rPr>
          <w:rFonts w:hint="eastAsia"/>
          <w:lang w:val="en-US" w:eastAsia="zh-CN"/>
        </w:rPr>
        <w:t xml:space="preserve">  "change_direction": "more_polar",</w:t>
      </w:r>
    </w:p>
    <w:p w14:paraId="6B9BAF3F">
      <w:pPr>
        <w:pStyle w:val="16"/>
        <w:spacing w:after="120"/>
        <w:ind w:left="0" w:leftChars="0" w:firstLine="480" w:firstLineChars="200"/>
        <w:rPr>
          <w:rFonts w:hint="eastAsia"/>
          <w:lang w:val="en-US" w:eastAsia="zh-CN"/>
        </w:rPr>
      </w:pPr>
      <w:r>
        <w:rPr>
          <w:rFonts w:hint="eastAsia"/>
          <w:lang w:val="en-US" w:eastAsia="zh-CN"/>
        </w:rPr>
        <w:t xml:space="preserve">  "reason": "No previous data exists, so this is the initial screening composition. Starting with 15% ethyl acetate in hexane as recommended by the Explanation Agent. This moderate polarity should place Rf values in a measurable range for these relatively non-polar aromatic ethers while providing a baseline to assess whether the product (4-chloroanisole) and reactant (anisole) can be separated. The chlorine substituent makes the product slightly more polar, so we expect it to run slightly lower than anisole in normal-phase TLC.",</w:t>
      </w:r>
    </w:p>
    <w:p w14:paraId="0C700D40">
      <w:pPr>
        <w:pStyle w:val="16"/>
        <w:spacing w:after="120"/>
        <w:ind w:left="0" w:leftChars="0" w:firstLine="480" w:firstLineChars="200"/>
        <w:rPr>
          <w:rFonts w:hint="eastAsia"/>
          <w:lang w:val="en-US" w:eastAsia="zh-CN"/>
        </w:rPr>
      </w:pPr>
      <w:r>
        <w:rPr>
          <w:rFonts w:hint="eastAsia"/>
          <w:lang w:val="en-US" w:eastAsia="zh-CN"/>
        </w:rPr>
        <w:t xml:space="preserve">  "converged": false</w:t>
      </w:r>
    </w:p>
    <w:p w14:paraId="3818DA09">
      <w:pPr>
        <w:pStyle w:val="16"/>
        <w:spacing w:after="120"/>
        <w:ind w:left="0" w:leftChars="0" w:firstLine="480" w:firstLineChars="200"/>
        <w:rPr>
          <w:rFonts w:hint="eastAsia"/>
          <w:lang w:val="en-US" w:eastAsia="zh-CN"/>
        </w:rPr>
      </w:pPr>
      <w:r>
        <w:rPr>
          <w:rFonts w:hint="eastAsia"/>
          <w:lang w:val="en-US" w:eastAsia="zh-CN"/>
        </w:rPr>
        <w:t>}</w:t>
      </w:r>
    </w:p>
    <w:p w14:paraId="2AA1F268">
      <w:pPr>
        <w:pStyle w:val="16"/>
        <w:spacing w:after="120"/>
        <w:ind w:left="0" w:leftChars="0" w:firstLine="480" w:firstLineChars="200"/>
        <w:rPr>
          <w:rFonts w:hint="eastAsia"/>
          <w:lang w:val="en-US" w:eastAsia="zh-CN"/>
        </w:rPr>
      </w:pPr>
      <w:r>
        <w:rPr>
          <w:rFonts w:hint="eastAsia"/>
          <w:lang w:val="en-US" w:eastAsia="zh-CN"/>
        </w:rPr>
        <w:t>智能体3：</w:t>
      </w:r>
    </w:p>
    <w:p w14:paraId="3E085481">
      <w:pPr>
        <w:pStyle w:val="16"/>
        <w:spacing w:after="120"/>
        <w:ind w:left="0" w:leftChars="0" w:firstLine="0" w:firstLineChars="0"/>
        <w:rPr>
          <w:rFonts w:hint="eastAsia"/>
          <w:lang w:val="en-US" w:eastAsia="zh-CN"/>
        </w:rPr>
      </w:pPr>
      <w:r>
        <w:rPr>
          <w:rFonts w:hint="eastAsia"/>
          <w:lang w:val="en-US" w:eastAsia="zh-CN"/>
        </w:rPr>
        <w:t xml:space="preserve">  "delta_rfs": {</w:t>
      </w:r>
    </w:p>
    <w:p w14:paraId="741CD755">
      <w:pPr>
        <w:pStyle w:val="16"/>
        <w:spacing w:after="120"/>
        <w:ind w:left="0" w:leftChars="0" w:firstLine="480" w:firstLineChars="200"/>
        <w:rPr>
          <w:rFonts w:hint="eastAsia"/>
          <w:lang w:val="en-US" w:eastAsia="zh-CN"/>
        </w:rPr>
      </w:pPr>
      <w:r>
        <w:rPr>
          <w:rFonts w:hint="eastAsia"/>
          <w:lang w:val="en-US" w:eastAsia="zh-CN"/>
        </w:rPr>
        <w:t xml:space="preserve">    "COC1=CC=CC=C1": 0.2153</w:t>
      </w:r>
    </w:p>
    <w:p w14:paraId="4AF9B8F0">
      <w:pPr>
        <w:pStyle w:val="16"/>
        <w:spacing w:after="120"/>
        <w:ind w:left="0" w:leftChars="0" w:firstLine="480" w:firstLineChars="200"/>
        <w:rPr>
          <w:rFonts w:hint="eastAsia"/>
          <w:lang w:val="en-US" w:eastAsia="zh-CN"/>
        </w:rPr>
      </w:pPr>
      <w:r>
        <w:rPr>
          <w:rFonts w:hint="eastAsia"/>
          <w:lang w:val="en-US" w:eastAsia="zh-CN"/>
        </w:rPr>
        <w:t xml:space="preserve">  }</w:t>
      </w:r>
    </w:p>
    <w:p w14:paraId="247CD750">
      <w:pPr>
        <w:pStyle w:val="16"/>
        <w:spacing w:after="120"/>
        <w:ind w:left="0" w:leftChars="0" w:firstLine="480" w:firstLineChars="200"/>
        <w:rPr>
          <w:rFonts w:hint="eastAsia"/>
          <w:lang w:val="en-US" w:eastAsia="zh-CN"/>
        </w:rPr>
      </w:pPr>
      <w:r>
        <w:rPr>
          <w:rFonts w:hint="eastAsia"/>
          <w:lang w:val="en-US" w:eastAsia="zh-CN"/>
        </w:rPr>
        <w:t>}</w:t>
      </w:r>
    </w:p>
    <w:p w14:paraId="4DA950D3">
      <w:pPr>
        <w:pStyle w:val="16"/>
        <w:spacing w:after="120"/>
        <w:ind w:left="0" w:leftChars="0" w:firstLine="480" w:firstLineChars="200"/>
        <w:rPr>
          <w:rFonts w:hint="eastAsia"/>
          <w:lang w:eastAsia="zh-CN"/>
        </w:rPr>
      </w:pPr>
      <w:r>
        <w:rPr>
          <w:rFonts w:hint="eastAsia"/>
          <w:lang w:eastAsia="zh-CN"/>
        </w:rPr>
        <w:t>三个智能体全部正常工作,JSON schema 完整。</w:t>
      </w:r>
    </w:p>
    <w:p w14:paraId="67733091">
      <w:pPr>
        <w:pStyle w:val="16"/>
        <w:spacing w:after="120"/>
        <w:ind w:left="0" w:leftChars="0" w:firstLine="480" w:firstLineChars="200"/>
        <w:rPr>
          <w:rFonts w:hint="eastAsia"/>
          <w:lang w:eastAsia="zh-CN"/>
        </w:rPr>
      </w:pPr>
      <w:r>
        <w:rPr>
          <w:rFonts w:hint="eastAsia"/>
          <w:lang w:eastAsia="zh-CN"/>
        </w:rPr>
        <w:t>解释智能体</w:t>
      </w:r>
      <w:r>
        <w:rPr>
          <w:rFonts w:hint="eastAsia"/>
          <w:lang w:val="en-US" w:eastAsia="zh-CN"/>
        </w:rPr>
        <w:t>1</w:t>
      </w:r>
      <w:r>
        <w:rPr>
          <w:rFonts w:hint="eastAsia"/>
          <w:lang w:eastAsia="zh-CN"/>
        </w:rPr>
        <w:t>正确识别了产物 (4-氯苯甲醚) 与反应物 (苯甲醚) 的化学差异。准确判断 Cl 的 吸电子效应会使产物略微更极性(虽然这点在 TLC 上的影响实际很小,Cl 主要是疏水的,但对硅胶吸附而言"极性差异微小"这个结论是对的)。首轮场景的字段正确。</w:t>
      </w:r>
    </w:p>
    <w:p w14:paraId="3725D684">
      <w:pPr>
        <w:pStyle w:val="16"/>
        <w:spacing w:after="120"/>
        <w:ind w:left="0" w:leftChars="0" w:firstLine="480" w:firstLineChars="200"/>
        <w:rPr>
          <w:rFonts w:hint="eastAsia"/>
          <w:lang w:eastAsia="zh-CN"/>
        </w:rPr>
      </w:pPr>
      <w:r>
        <w:rPr>
          <w:rFonts w:hint="eastAsia"/>
          <w:lang w:eastAsia="zh-CN"/>
        </w:rPr>
        <w:t>组成调优智能体 提议 Hexane 85% / EA 15%,在解释智能体建议的范围内</w:t>
      </w:r>
      <w:r>
        <w:rPr>
          <w:rFonts w:hint="eastAsia"/>
          <w:lang w:val="en-US" w:eastAsia="zh-CN"/>
        </w:rPr>
        <w:t>.</w:t>
      </w:r>
      <w:r>
        <w:rPr>
          <w:rFonts w:hint="eastAsia"/>
          <w:lang w:eastAsia="zh-CN"/>
        </w:rPr>
        <w:t>change_direction: "more_polar" 与首轮"从纯己烷起步则更极性方向"的语义一致。解释中提到"Cl 让产物更极性,在正相 TLC 中应跑得更低",符合 agent_prompts.yaml 中强调的极性规则,没有反向。</w:t>
      </w:r>
    </w:p>
    <w:p w14:paraId="6D40DAA6">
      <w:pPr>
        <w:pStyle w:val="16"/>
        <w:spacing w:after="120"/>
        <w:ind w:left="0" w:leftChars="0" w:firstLine="480" w:firstLineChars="200"/>
        <w:rPr>
          <w:rFonts w:hint="eastAsia"/>
          <w:lang w:eastAsia="zh-CN"/>
        </w:rPr>
      </w:pPr>
      <w:r>
        <w:rPr>
          <w:rFonts w:hint="eastAsia"/>
          <w:lang w:eastAsia="zh-CN"/>
        </w:rPr>
        <w:t>实验智能体</w:t>
      </w:r>
      <w:r>
        <w:rPr>
          <w:rFonts w:hint="eastAsia"/>
          <w:lang w:val="en-US" w:eastAsia="zh-CN"/>
        </w:rPr>
        <w:t>得到合理</w:t>
      </w:r>
      <w:r>
        <w:rPr>
          <w:rFonts w:hint="eastAsia"/>
          <w:lang w:eastAsia="zh-CN"/>
        </w:rPr>
        <w:t>数据delta_rfs: { "COC1=CC=CC=C1": 0.2153 }</w:t>
      </w:r>
    </w:p>
    <w:p w14:paraId="0F52A8F8">
      <w:pPr>
        <w:pStyle w:val="29"/>
      </w:pPr>
    </w:p>
    <w:p w14:paraId="452AAF64">
      <w:pPr>
        <w:pStyle w:val="16"/>
        <w:bidi w:val="0"/>
        <w:ind w:left="0" w:leftChars="0" w:firstLine="0" w:firstLineChars="0"/>
        <w:rPr>
          <w:rFonts w:hint="eastAsia" w:ascii="Times New Roman" w:hAnsi="Times New Roman" w:cs="Times New Roman" w:eastAsiaTheme="minorEastAsia"/>
          <w:b/>
          <w:sz w:val="28"/>
          <w:lang w:val="en-US" w:eastAsia="en-US" w:bidi="ar-SA"/>
        </w:rPr>
      </w:pPr>
      <w:r>
        <w:rPr>
          <w:rFonts w:hint="eastAsia" w:ascii="Times New Roman" w:hAnsi="Times New Roman" w:cs="Times New Roman" w:eastAsiaTheme="minorEastAsia"/>
          <w:b/>
          <w:sz w:val="28"/>
          <w:lang w:val="en-US" w:eastAsia="zh-CN" w:bidi="ar-SA"/>
        </w:rPr>
        <w:t>Q</w:t>
      </w:r>
      <w:r>
        <w:rPr>
          <w:rFonts w:hint="eastAsia" w:cs="Times New Roman"/>
          <w:b/>
          <w:sz w:val="28"/>
          <w:lang w:val="en-US" w:eastAsia="zh-CN" w:bidi="ar-SA"/>
        </w:rPr>
        <w:t>2</w:t>
      </w:r>
      <w:r>
        <w:rPr>
          <w:rFonts w:hint="eastAsia" w:ascii="Times New Roman" w:hAnsi="Times New Roman" w:cs="Times New Roman" w:eastAsiaTheme="minorEastAsia"/>
          <w:b/>
          <w:sz w:val="28"/>
          <w:lang w:val="en-US" w:eastAsia="zh-CN" w:bidi="ar-SA"/>
        </w:rPr>
        <w:t>: 构建三个智能体</w:t>
      </w:r>
    </w:p>
    <w:p w14:paraId="53C9ABC8">
      <w:pPr>
        <w:pStyle w:val="16"/>
        <w:spacing w:after="120"/>
        <w:ind w:left="0" w:leftChars="0" w:firstLine="480" w:firstLineChars="200"/>
        <w:rPr>
          <w:rFonts w:hint="eastAsia"/>
          <w:lang w:val="en-US" w:eastAsia="zh-CN"/>
        </w:rPr>
      </w:pPr>
      <w:r>
        <w:rPr>
          <w:rFonts w:hint="eastAsia"/>
          <w:lang w:val="en-US" w:eastAsia="zh-CN"/>
        </w:rPr>
        <w:t xml:space="preserve"> TLC 洗脱剂优化本质上是一个基于反馈的迭代试错过程，参考化学家在实验上的操作逻辑：由于分子在固定相与流动相之间的分配行为受溶剂极性、氢键能力及分子官能团等多重非线性因素耦合影响，无法通过单次计算直接解析出最优二元比例，而必须在“观察–分析–决策–验证”的闭环中逐步逼近可行解。</w:t>
      </w:r>
    </w:p>
    <w:p w14:paraId="0967528F">
      <w:pPr>
        <w:pStyle w:val="16"/>
        <w:spacing w:after="120"/>
        <w:ind w:left="0" w:leftChars="0" w:firstLine="480" w:firstLineChars="200"/>
        <w:rPr>
          <w:rFonts w:hint="eastAsia"/>
          <w:lang w:val="en-US" w:eastAsia="zh-CN"/>
        </w:rPr>
      </w:pPr>
      <w:r>
        <w:rPr>
          <w:rFonts w:hint="eastAsia"/>
          <w:lang w:val="en-US" w:eastAsia="zh-CN"/>
        </w:rPr>
        <w:t>故解释智能体首先承担认知与感知职能——在首次迭代时解析用户输入的反应 SMILES，识别反应物与产物并提取分子描述符以建立初始化学语境；在后续迭代中则负责解读实验智能体返回的 R</w:t>
      </w:r>
      <w:r>
        <w:rPr>
          <w:rFonts w:hint="eastAsia"/>
          <w:vertAlign w:val="subscript"/>
          <w:lang w:val="en-US" w:eastAsia="zh-CN"/>
        </w:rPr>
        <w:t>f</w:t>
      </w:r>
      <w:r>
        <w:rPr>
          <w:rFonts w:hint="eastAsia"/>
          <w:lang w:val="en-US" w:eastAsia="zh-CN"/>
        </w:rPr>
        <w:t xml:space="preserve"> 值与分离度，将原始数值转化为具有化学意义的判断（如“产物 Rf 过低，表明流动相极性不足”），从而为后续决策提供结构化的事实基础与失败归因。组成调优智能体随后基于解释智能体的分析结果执行决策职能，利用其内嵌的溶剂极性知识与优化策略，在已探查的实验空间与未探索区域之间进行权衡，提出新的二元组成方案；这一步模拟了化学家根据上一次斑点的位置与分离情况调整洗脱剂配比的推理过程，确保搜索方向具备化学合理性而非盲目随机。实验智能体则作为系统的验证与执行层，负责调用 TLC 模拟器将抽象的组成方案转化为可观测的实验数据（各组分的 R</w:t>
      </w:r>
      <w:r>
        <w:rPr>
          <w:rFonts w:hint="eastAsia"/>
          <w:vertAlign w:val="subscript"/>
          <w:lang w:val="en-US" w:eastAsia="zh-CN"/>
        </w:rPr>
        <w:t>f</w:t>
      </w:r>
      <w:r>
        <w:rPr>
          <w:rFonts w:hint="eastAsia"/>
          <w:lang w:val="en-US" w:eastAsia="zh-CN"/>
        </w:rPr>
        <w:t xml:space="preserve"> 值），并将结果写入共享记忆以供下一轮迭代使用。完成一次实验后，系统必须返回步骤 2 重新启动解释智能体，因为新获得的 R</w:t>
      </w:r>
      <w:r>
        <w:rPr>
          <w:rFonts w:hint="eastAsia"/>
          <w:vertAlign w:val="subscript"/>
          <w:lang w:val="en-US" w:eastAsia="zh-CN"/>
        </w:rPr>
        <w:t>f</w:t>
      </w:r>
      <w:r>
        <w:rPr>
          <w:rFonts w:hint="eastAsia"/>
          <w:lang w:val="en-US" w:eastAsia="zh-CN"/>
        </w:rPr>
        <w:t xml:space="preserve"> 数据可能改变甚至推翻先前的化学假设，只有通过持续的循环反馈，系统才能不断修正对溶剂–分子相互作用关系的认知，逐步收敛至产物处于理想 R</w:t>
      </w:r>
      <w:r>
        <w:rPr>
          <w:rFonts w:hint="eastAsia"/>
          <w:vertAlign w:val="subscript"/>
          <w:lang w:val="en-US" w:eastAsia="zh-CN"/>
        </w:rPr>
        <w:t>f</w:t>
      </w:r>
      <w:r>
        <w:rPr>
          <w:rFonts w:hint="eastAsia"/>
          <w:lang w:val="en-US" w:eastAsia="zh-CN"/>
        </w:rPr>
        <w:t xml:space="preserve"> 窗口且分离度满足要求的组成方案。循环的终止由停止条件（达到预设的最大迭代次数、连续多轮优化增益低于阈值，或已获得满意的分离评分等）控制。</w:t>
      </w:r>
    </w:p>
    <w:p w14:paraId="4F056B24">
      <w:pPr>
        <w:pStyle w:val="16"/>
        <w:spacing w:after="120"/>
        <w:ind w:left="0" w:leftChars="0" w:firstLine="480" w:firstLineChars="200"/>
        <w:rPr>
          <w:rFonts w:hint="default"/>
          <w:lang w:val="en-US" w:eastAsia="zh-CN"/>
        </w:rPr>
      </w:pPr>
      <w:r>
        <w:rPr>
          <w:rFonts w:hint="eastAsia"/>
          <w:lang w:val="en-US" w:eastAsia="zh-CN"/>
        </w:rPr>
        <w:t>故修改工作流如下</w:t>
      </w:r>
    </w:p>
    <w:p w14:paraId="22251585">
      <w:pPr>
        <w:pStyle w:val="16"/>
        <w:spacing w:after="120"/>
        <w:ind w:left="0" w:leftChars="0" w:firstLine="480" w:firstLineChars="200"/>
        <w:rPr>
          <w:rFonts w:hint="eastAsia"/>
          <w:lang w:val="en-US" w:eastAsia="zh-CN"/>
        </w:rPr>
      </w:pPr>
      <w:r>
        <w:rPr>
          <w:rFonts w:hint="eastAsia"/>
          <w:lang w:val="en-US" w:eastAsia="zh-CN"/>
        </w:rPr>
        <w:t>1.用户发送任务请求，要求使用TLC分离产物。</w:t>
      </w:r>
    </w:p>
    <w:p w14:paraId="35895CB1">
      <w:pPr>
        <w:pStyle w:val="16"/>
        <w:spacing w:after="120"/>
        <w:ind w:left="0" w:leftChars="0" w:firstLine="480" w:firstLineChars="200"/>
        <w:rPr>
          <w:rFonts w:hint="eastAsia"/>
          <w:lang w:val="en-US" w:eastAsia="zh-CN"/>
        </w:rPr>
      </w:pPr>
      <w:r>
        <w:rPr>
          <w:rFonts w:hint="eastAsia"/>
          <w:lang w:val="en-US" w:eastAsia="zh-CN"/>
        </w:rPr>
        <w:t>2.运行解释智能体以解读结果（如果是第一次迭代，则接收用户任务描述提示来启动）</w:t>
      </w:r>
    </w:p>
    <w:p w14:paraId="5AA5128C">
      <w:pPr>
        <w:pStyle w:val="16"/>
        <w:spacing w:after="120"/>
        <w:ind w:left="0" w:leftChars="0" w:firstLine="480" w:firstLineChars="200"/>
        <w:rPr>
          <w:rFonts w:hint="eastAsia"/>
          <w:lang w:val="en-US" w:eastAsia="zh-CN"/>
        </w:rPr>
      </w:pPr>
      <w:r>
        <w:rPr>
          <w:rFonts w:hint="eastAsia"/>
          <w:lang w:val="en-US" w:eastAsia="zh-CN"/>
        </w:rPr>
        <w:t>3.运行组成调优智能体以提出更优的组成方案。</w:t>
      </w:r>
    </w:p>
    <w:p w14:paraId="5254D1D5">
      <w:pPr>
        <w:pStyle w:val="16"/>
        <w:spacing w:after="120"/>
        <w:ind w:left="0" w:leftChars="0" w:firstLine="480" w:firstLineChars="200"/>
        <w:rPr>
          <w:rFonts w:hint="eastAsia"/>
          <w:lang w:val="en-US" w:eastAsia="zh-CN"/>
        </w:rPr>
      </w:pPr>
      <w:r>
        <w:rPr>
          <w:rFonts w:hint="eastAsia"/>
          <w:lang w:val="en-US" w:eastAsia="zh-CN"/>
        </w:rPr>
        <w:t>4.运行实验智能体以模拟TLC实验。</w:t>
      </w:r>
    </w:p>
    <w:p w14:paraId="40719A00">
      <w:pPr>
        <w:pStyle w:val="16"/>
        <w:spacing w:after="120"/>
        <w:ind w:left="0" w:leftChars="0" w:firstLine="480" w:firstLineChars="200"/>
        <w:rPr>
          <w:rFonts w:hint="eastAsia"/>
          <w:lang w:val="en-US" w:eastAsia="zh-CN"/>
        </w:rPr>
      </w:pPr>
      <w:r>
        <w:rPr>
          <w:rFonts w:hint="eastAsia"/>
          <w:lang w:val="en-US" w:eastAsia="zh-CN"/>
        </w:rPr>
        <w:t>5.返回步骤2并重复，直到满足停止条件或达到最大迭代次数。</w:t>
      </w:r>
    </w:p>
    <w:p w14:paraId="6C59770F">
      <w:pPr>
        <w:pStyle w:val="29"/>
      </w:pPr>
    </w:p>
    <w:p w14:paraId="5371860A">
      <w:pPr>
        <w:pStyle w:val="29"/>
        <w:rPr>
          <w:rFonts w:hint="eastAsia" w:ascii="Times New Roman" w:hAnsi="Times New Roman" w:cs="Times New Roman" w:eastAsiaTheme="minorEastAsia"/>
          <w:b/>
          <w:sz w:val="28"/>
          <w:lang w:val="en-US" w:eastAsia="zh-CN" w:bidi="ar-SA"/>
        </w:rPr>
      </w:pPr>
      <w:r>
        <w:rPr>
          <w:rFonts w:hint="eastAsia" w:ascii="Times New Roman" w:hAnsi="Times New Roman" w:cs="Times New Roman" w:eastAsiaTheme="minorEastAsia"/>
          <w:b/>
          <w:sz w:val="28"/>
          <w:lang w:val="en-US" w:eastAsia="zh-CN" w:bidi="ar-SA"/>
        </w:rPr>
        <w:t>Q</w:t>
      </w:r>
      <w:r>
        <w:rPr>
          <w:rFonts w:hint="eastAsia" w:cs="Times New Roman"/>
          <w:b/>
          <w:sz w:val="28"/>
          <w:lang w:val="en-US" w:eastAsia="zh-CN" w:bidi="ar-SA"/>
        </w:rPr>
        <w:t>3</w:t>
      </w:r>
      <w:r>
        <w:rPr>
          <w:rFonts w:hint="eastAsia" w:ascii="Times New Roman" w:hAnsi="Times New Roman" w:cs="Times New Roman" w:eastAsiaTheme="minorEastAsia"/>
          <w:b/>
          <w:sz w:val="28"/>
          <w:lang w:val="en-US" w:eastAsia="zh-CN" w:bidi="ar-SA"/>
        </w:rPr>
        <w:t>: 优化TLC洗脱剂</w:t>
      </w:r>
    </w:p>
    <w:p w14:paraId="3228EE94">
      <w:pPr>
        <w:pStyle w:val="29"/>
        <w:ind w:firstLine="480" w:firstLineChars="200"/>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我们使用与Class3-5作业中相同的反应体系，让智能体找到最优洗脱剂。具体要求如下</w:t>
      </w:r>
    </w:p>
    <w:p w14:paraId="33BE3C38">
      <w:pPr>
        <w:pStyle w:val="29"/>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洗脱剂标准：为了使混合物具有良好的分离性能，我们需要找到合适的洗脱剂组成，使产物的R</w:t>
      </w:r>
      <w:r>
        <w:rPr>
          <w:rFonts w:hint="eastAsia" w:ascii="Times New Roman" w:hAnsi="Times New Roman" w:cs="Times New Roman" w:eastAsiaTheme="minorEastAsia"/>
          <w:sz w:val="24"/>
          <w:vertAlign w:val="subscript"/>
          <w:lang w:val="en-US" w:eastAsia="zh-CN" w:bidi="ar-SA"/>
        </w:rPr>
        <w:t>f</w:t>
      </w:r>
      <w:r>
        <w:rPr>
          <w:rFonts w:hint="eastAsia" w:ascii="Times New Roman" w:hAnsi="Times New Roman" w:cs="Times New Roman" w:eastAsiaTheme="minorEastAsia"/>
          <w:sz w:val="24"/>
          <w:lang w:val="en-US" w:eastAsia="zh-CN" w:bidi="ar-SA"/>
        </w:rPr>
        <w:t>值在0.2~0.3范围内，且其他反应物与目标化合物的R</w:t>
      </w:r>
      <w:r>
        <w:rPr>
          <w:rFonts w:hint="eastAsia" w:ascii="Times New Roman" w:hAnsi="Times New Roman" w:cs="Times New Roman" w:eastAsiaTheme="minorEastAsia"/>
          <w:sz w:val="24"/>
          <w:vertAlign w:val="subscript"/>
          <w:lang w:val="en-US" w:eastAsia="zh-CN" w:bidi="ar-SA"/>
        </w:rPr>
        <w:t>f</w:t>
      </w:r>
      <w:r>
        <w:rPr>
          <w:rFonts w:hint="eastAsia" w:ascii="Times New Roman" w:hAnsi="Times New Roman" w:cs="Times New Roman" w:eastAsiaTheme="minorEastAsia"/>
          <w:sz w:val="24"/>
          <w:lang w:val="en-US" w:eastAsia="zh-CN" w:bidi="ar-SA"/>
        </w:rPr>
        <w:t>值差异大于0.1。</w:t>
      </w:r>
    </w:p>
    <w:p w14:paraId="1A139D7B">
      <w:pPr>
        <w:pStyle w:val="29"/>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考虑题目所给Buchwald-Hartwig交叉偶联反应，我们希望将产物从反应粗品中分离出来。</w:t>
      </w:r>
    </w:p>
    <w:p w14:paraId="734FC486">
      <w:pPr>
        <w:pStyle w:val="29"/>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假设反应粗品（反应后的混合物）仅包含反应物1（对甲苯氯，cas：106-43-4）和产物2（4-(对甲苯基)吗啉，cas:3077-16-5）。找到合适的洗脱剂组成以将2与1分离（为简化起见，直接输入1&gt;&gt;2作为反应SMILES）</w:t>
      </w:r>
    </w:p>
    <w:p w14:paraId="3347B4CD">
      <w:pPr>
        <w:pStyle w:val="29"/>
        <w:ind w:firstLine="480" w:firstLineChars="200"/>
        <w:rPr>
          <w:rFonts w:hint="eastAsia"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Q2中搭建的工作流输出如下。</w:t>
      </w:r>
    </w:p>
    <w:tbl>
      <w:tblPr>
        <w:tblStyle w:val="11"/>
        <w:tblW w:w="1038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090"/>
        <w:gridCol w:w="1454"/>
        <w:gridCol w:w="912"/>
        <w:gridCol w:w="991"/>
        <w:gridCol w:w="1432"/>
        <w:gridCol w:w="878"/>
        <w:gridCol w:w="910"/>
        <w:gridCol w:w="1223"/>
        <w:gridCol w:w="1493"/>
      </w:tblGrid>
      <w:tr w14:paraId="5E7CF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90"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2C89F3E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迭代</w:t>
            </w:r>
          </w:p>
        </w:tc>
        <w:tc>
          <w:tcPr>
            <w:tcW w:w="1454"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1A8FFDE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Hexane%</w:t>
            </w:r>
          </w:p>
        </w:tc>
        <w:tc>
          <w:tcPr>
            <w:tcW w:w="912"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4D721AE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EA%</w:t>
            </w:r>
          </w:p>
        </w:tc>
        <w:tc>
          <w:tcPr>
            <w:tcW w:w="991"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7775A76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产物R</w:t>
            </w:r>
            <w:r>
              <w:rPr>
                <w:rFonts w:hint="default" w:ascii="Segoe UI" w:hAnsi="Segoe UI" w:eastAsia="Segoe UI" w:cs="Segoe UI"/>
                <w:b/>
                <w:bCs/>
                <w:i w:val="0"/>
                <w:iCs w:val="0"/>
                <w:caps w:val="0"/>
                <w:spacing w:val="8"/>
                <w:kern w:val="0"/>
                <w:sz w:val="21"/>
                <w:szCs w:val="21"/>
                <w:vertAlign w:val="subscript"/>
                <w:lang w:val="en-US" w:eastAsia="zh-CN" w:bidi="ar"/>
              </w:rPr>
              <w:t>f</w:t>
            </w:r>
          </w:p>
        </w:tc>
        <w:tc>
          <w:tcPr>
            <w:tcW w:w="1432"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0D5F6BF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kern w:val="0"/>
                <w:sz w:val="21"/>
                <w:szCs w:val="21"/>
                <w:lang w:val="en-US" w:eastAsia="zh-CN" w:bidi="ar"/>
              </w:rPr>
            </w:pPr>
            <w:r>
              <w:rPr>
                <w:rFonts w:hint="default" w:ascii="Segoe UI" w:hAnsi="Segoe UI" w:eastAsia="Segoe UI" w:cs="Segoe UI"/>
                <w:b/>
                <w:bCs/>
                <w:i w:val="0"/>
                <w:iCs w:val="0"/>
                <w:caps w:val="0"/>
                <w:spacing w:val="8"/>
                <w:kern w:val="0"/>
                <w:sz w:val="21"/>
                <w:szCs w:val="21"/>
                <w:lang w:val="en-US" w:eastAsia="zh-CN" w:bidi="ar"/>
              </w:rPr>
              <w:t>产物R</w:t>
            </w:r>
            <w:r>
              <w:rPr>
                <w:rFonts w:hint="default" w:ascii="Segoe UI" w:hAnsi="Segoe UI" w:eastAsia="Segoe UI" w:cs="Segoe UI"/>
                <w:b/>
                <w:bCs/>
                <w:i w:val="0"/>
                <w:iCs w:val="0"/>
                <w:caps w:val="0"/>
                <w:spacing w:val="8"/>
                <w:kern w:val="0"/>
                <w:sz w:val="21"/>
                <w:szCs w:val="21"/>
                <w:vertAlign w:val="subscript"/>
                <w:lang w:val="en-US" w:eastAsia="zh-CN" w:bidi="ar"/>
              </w:rPr>
              <w:t>f</w:t>
            </w:r>
          </w:p>
          <w:p w14:paraId="24234F5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判定</w:t>
            </w:r>
          </w:p>
        </w:tc>
        <w:tc>
          <w:tcPr>
            <w:tcW w:w="878"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7A5C3D8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ΔR</w:t>
            </w:r>
            <w:r>
              <w:rPr>
                <w:rFonts w:hint="default" w:ascii="Segoe UI" w:hAnsi="Segoe UI" w:eastAsia="Segoe UI" w:cs="Segoe UI"/>
                <w:b/>
                <w:bCs/>
                <w:i w:val="0"/>
                <w:iCs w:val="0"/>
                <w:caps w:val="0"/>
                <w:spacing w:val="8"/>
                <w:kern w:val="0"/>
                <w:sz w:val="21"/>
                <w:szCs w:val="21"/>
                <w:vertAlign w:val="subscript"/>
                <w:lang w:val="en-US" w:eastAsia="zh-CN" w:bidi="ar"/>
              </w:rPr>
              <w:t>f</w:t>
            </w:r>
          </w:p>
        </w:tc>
        <w:tc>
          <w:tcPr>
            <w:tcW w:w="910"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0033550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分离判定</w:t>
            </w:r>
          </w:p>
        </w:tc>
        <w:tc>
          <w:tcPr>
            <w:tcW w:w="1223"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7FA48BA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解释智能体</w:t>
            </w:r>
          </w:p>
        </w:tc>
        <w:tc>
          <w:tcPr>
            <w:tcW w:w="1493"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15C53D9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b/>
                <w:bCs/>
                <w:i w:val="0"/>
                <w:iCs w:val="0"/>
                <w:caps w:val="0"/>
                <w:spacing w:val="8"/>
                <w:sz w:val="21"/>
                <w:szCs w:val="21"/>
              </w:rPr>
            </w:pPr>
            <w:r>
              <w:rPr>
                <w:rFonts w:hint="default" w:ascii="Segoe UI" w:hAnsi="Segoe UI" w:eastAsia="Segoe UI" w:cs="Segoe UI"/>
                <w:b/>
                <w:bCs/>
                <w:i w:val="0"/>
                <w:iCs w:val="0"/>
                <w:caps w:val="0"/>
                <w:spacing w:val="8"/>
                <w:kern w:val="0"/>
                <w:sz w:val="21"/>
                <w:szCs w:val="21"/>
                <w:lang w:val="en-US" w:eastAsia="zh-CN" w:bidi="ar"/>
              </w:rPr>
              <w:t>说明</w:t>
            </w:r>
          </w:p>
        </w:tc>
      </w:tr>
      <w:tr w14:paraId="72A75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90"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196F737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1</w:t>
            </w:r>
          </w:p>
        </w:tc>
        <w:tc>
          <w:tcPr>
            <w:tcW w:w="1454"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64A2087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80</w:t>
            </w:r>
          </w:p>
        </w:tc>
        <w:tc>
          <w:tcPr>
            <w:tcW w:w="912"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4217416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20</w:t>
            </w:r>
          </w:p>
        </w:tc>
        <w:tc>
          <w:tcPr>
            <w:tcW w:w="991"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1A8BACA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0.3456</w:t>
            </w:r>
          </w:p>
        </w:tc>
        <w:tc>
          <w:tcPr>
            <w:tcW w:w="1432"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0A9A8A4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超出</w:t>
            </w:r>
          </w:p>
        </w:tc>
        <w:tc>
          <w:tcPr>
            <w:tcW w:w="878"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1C7D8F3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0.4946</w:t>
            </w:r>
          </w:p>
        </w:tc>
        <w:tc>
          <w:tcPr>
            <w:tcW w:w="910"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126B90E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 xml:space="preserve"> 满足</w:t>
            </w:r>
          </w:p>
        </w:tc>
        <w:tc>
          <w:tcPr>
            <w:tcW w:w="1223"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7A882AE2">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8"/>
                <w:sz w:val="21"/>
                <w:szCs w:val="21"/>
              </w:rPr>
            </w:pPr>
            <w:r>
              <w:rPr>
                <w:rStyle w:val="14"/>
                <w:rFonts w:hint="default" w:ascii="Segoe UI" w:hAnsi="Segoe UI" w:eastAsia="Segoe UI" w:cs="Segoe UI"/>
                <w:b/>
                <w:bCs/>
                <w:i w:val="0"/>
                <w:iCs w:val="0"/>
                <w:caps w:val="0"/>
                <w:spacing w:val="8"/>
                <w:kern w:val="0"/>
                <w:sz w:val="21"/>
                <w:szCs w:val="21"/>
                <w:vertAlign w:val="baseline"/>
                <w:lang w:val="en-US" w:eastAsia="zh-CN" w:bidi="ar"/>
              </w:rPr>
              <w:t>not_acceptable</w:t>
            </w:r>
          </w:p>
        </w:tc>
        <w:tc>
          <w:tcPr>
            <w:tcW w:w="1493"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5C64759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首轮硬编码 stub，尚无实验数据</w:t>
            </w:r>
          </w:p>
        </w:tc>
      </w:tr>
      <w:tr w14:paraId="1B840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0" w:type="dxa"/>
            <w:tcBorders>
              <w:top w:val="nil"/>
              <w:left w:val="nil"/>
              <w:bottom w:val="nil"/>
              <w:right w:val="nil"/>
            </w:tcBorders>
            <w:shd w:val="clear" w:color="auto" w:fill="FFFFFF"/>
            <w:tcMar>
              <w:top w:w="150" w:type="dxa"/>
              <w:left w:w="150" w:type="dxa"/>
              <w:bottom w:w="150" w:type="dxa"/>
              <w:right w:w="150" w:type="dxa"/>
            </w:tcMar>
            <w:vAlign w:val="center"/>
          </w:tcPr>
          <w:p w14:paraId="4D000C8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2</w:t>
            </w:r>
          </w:p>
        </w:tc>
        <w:tc>
          <w:tcPr>
            <w:tcW w:w="1454" w:type="dxa"/>
            <w:tcBorders>
              <w:top w:val="nil"/>
              <w:left w:val="nil"/>
              <w:bottom w:val="nil"/>
              <w:right w:val="nil"/>
            </w:tcBorders>
            <w:shd w:val="clear" w:color="auto" w:fill="FFFFFF"/>
            <w:tcMar>
              <w:top w:w="150" w:type="dxa"/>
              <w:left w:w="150" w:type="dxa"/>
              <w:bottom w:w="150" w:type="dxa"/>
              <w:right w:w="150" w:type="dxa"/>
            </w:tcMar>
            <w:vAlign w:val="center"/>
          </w:tcPr>
          <w:p w14:paraId="765662C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85</w:t>
            </w:r>
          </w:p>
        </w:tc>
        <w:tc>
          <w:tcPr>
            <w:tcW w:w="912" w:type="dxa"/>
            <w:tcBorders>
              <w:top w:val="nil"/>
              <w:left w:val="nil"/>
              <w:bottom w:val="nil"/>
              <w:right w:val="nil"/>
            </w:tcBorders>
            <w:shd w:val="clear" w:color="auto" w:fill="FFFFFF"/>
            <w:tcMar>
              <w:top w:w="150" w:type="dxa"/>
              <w:left w:w="150" w:type="dxa"/>
              <w:bottom w:w="150" w:type="dxa"/>
              <w:right w:w="150" w:type="dxa"/>
            </w:tcMar>
            <w:vAlign w:val="center"/>
          </w:tcPr>
          <w:p w14:paraId="34A1025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15</w:t>
            </w:r>
          </w:p>
        </w:tc>
        <w:tc>
          <w:tcPr>
            <w:tcW w:w="991" w:type="dxa"/>
            <w:tcBorders>
              <w:top w:val="nil"/>
              <w:left w:val="nil"/>
              <w:bottom w:val="nil"/>
              <w:right w:val="nil"/>
            </w:tcBorders>
            <w:shd w:val="clear" w:color="auto" w:fill="FFFFFF"/>
            <w:tcMar>
              <w:top w:w="150" w:type="dxa"/>
              <w:left w:w="150" w:type="dxa"/>
              <w:bottom w:w="150" w:type="dxa"/>
              <w:right w:w="150" w:type="dxa"/>
            </w:tcMar>
            <w:vAlign w:val="center"/>
          </w:tcPr>
          <w:p w14:paraId="6F66725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0.2896</w:t>
            </w:r>
          </w:p>
        </w:tc>
        <w:tc>
          <w:tcPr>
            <w:tcW w:w="1432" w:type="dxa"/>
            <w:tcBorders>
              <w:top w:val="nil"/>
              <w:left w:val="nil"/>
              <w:bottom w:val="nil"/>
              <w:right w:val="nil"/>
            </w:tcBorders>
            <w:shd w:val="clear" w:color="auto" w:fill="FFFFFF"/>
            <w:tcMar>
              <w:top w:w="150" w:type="dxa"/>
              <w:left w:w="150" w:type="dxa"/>
              <w:bottom w:w="150" w:type="dxa"/>
              <w:right w:w="150" w:type="dxa"/>
            </w:tcMar>
            <w:vAlign w:val="center"/>
          </w:tcPr>
          <w:p w14:paraId="401A4ED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 xml:space="preserve"> 满足</w:t>
            </w:r>
          </w:p>
        </w:tc>
        <w:tc>
          <w:tcPr>
            <w:tcW w:w="878" w:type="dxa"/>
            <w:tcBorders>
              <w:top w:val="nil"/>
              <w:left w:val="nil"/>
              <w:bottom w:val="nil"/>
              <w:right w:val="nil"/>
            </w:tcBorders>
            <w:shd w:val="clear" w:color="auto" w:fill="FFFFFF"/>
            <w:tcMar>
              <w:top w:w="150" w:type="dxa"/>
              <w:left w:w="150" w:type="dxa"/>
              <w:bottom w:w="150" w:type="dxa"/>
              <w:right w:w="150" w:type="dxa"/>
            </w:tcMar>
            <w:vAlign w:val="center"/>
          </w:tcPr>
          <w:p w14:paraId="09612FD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0.4962</w:t>
            </w:r>
          </w:p>
        </w:tc>
        <w:tc>
          <w:tcPr>
            <w:tcW w:w="910" w:type="dxa"/>
            <w:tcBorders>
              <w:top w:val="nil"/>
              <w:left w:val="nil"/>
              <w:bottom w:val="nil"/>
              <w:right w:val="nil"/>
            </w:tcBorders>
            <w:shd w:val="clear" w:color="auto" w:fill="FFFFFF"/>
            <w:tcMar>
              <w:top w:w="150" w:type="dxa"/>
              <w:left w:w="150" w:type="dxa"/>
              <w:bottom w:w="150" w:type="dxa"/>
              <w:right w:w="150" w:type="dxa"/>
            </w:tcMar>
            <w:vAlign w:val="center"/>
          </w:tcPr>
          <w:p w14:paraId="3DD8E1C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 xml:space="preserve"> 满足</w:t>
            </w:r>
          </w:p>
        </w:tc>
        <w:tc>
          <w:tcPr>
            <w:tcW w:w="1223" w:type="dxa"/>
            <w:tcBorders>
              <w:top w:val="nil"/>
              <w:left w:val="nil"/>
              <w:bottom w:val="nil"/>
              <w:right w:val="nil"/>
            </w:tcBorders>
            <w:shd w:val="clear" w:color="auto" w:fill="FFFFFF"/>
            <w:tcMar>
              <w:top w:w="150" w:type="dxa"/>
              <w:left w:w="150" w:type="dxa"/>
              <w:bottom w:w="150" w:type="dxa"/>
              <w:right w:w="150" w:type="dxa"/>
            </w:tcMar>
            <w:vAlign w:val="center"/>
          </w:tcPr>
          <w:p w14:paraId="65B96464">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8"/>
                <w:sz w:val="21"/>
                <w:szCs w:val="21"/>
              </w:rPr>
            </w:pPr>
            <w:r>
              <w:rPr>
                <w:rStyle w:val="14"/>
                <w:rFonts w:hint="default" w:ascii="Segoe UI" w:hAnsi="Segoe UI" w:eastAsia="Segoe UI" w:cs="Segoe UI"/>
                <w:b/>
                <w:bCs/>
                <w:i w:val="0"/>
                <w:iCs w:val="0"/>
                <w:caps w:val="0"/>
                <w:spacing w:val="8"/>
                <w:kern w:val="0"/>
                <w:sz w:val="21"/>
                <w:szCs w:val="21"/>
                <w:vertAlign w:val="baseline"/>
                <w:lang w:val="en-US" w:eastAsia="zh-CN" w:bidi="ar"/>
              </w:rPr>
              <w:t>not_acceptable</w:t>
            </w:r>
          </w:p>
        </w:tc>
        <w:tc>
          <w:tcPr>
            <w:tcW w:w="1493" w:type="dxa"/>
            <w:tcBorders>
              <w:top w:val="nil"/>
              <w:left w:val="nil"/>
              <w:bottom w:val="nil"/>
              <w:right w:val="nil"/>
            </w:tcBorders>
            <w:shd w:val="clear" w:color="auto" w:fill="FFFFFF"/>
            <w:tcMar>
              <w:top w:w="150" w:type="dxa"/>
              <w:left w:w="150" w:type="dxa"/>
              <w:bottom w:w="150" w:type="dxa"/>
              <w:right w:w="150" w:type="dxa"/>
            </w:tcMar>
            <w:vAlign w:val="center"/>
          </w:tcPr>
          <w:p w14:paraId="1EDA56B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p>
        </w:tc>
      </w:tr>
      <w:tr w14:paraId="3CC76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090"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70372F4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3</w:t>
            </w:r>
          </w:p>
        </w:tc>
        <w:tc>
          <w:tcPr>
            <w:tcW w:w="1454"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1705824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912"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345F712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991"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197DCEE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1432"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6E3EF6C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878"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3386CF5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910"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0B7F7AA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w:t>
            </w:r>
          </w:p>
        </w:tc>
        <w:tc>
          <w:tcPr>
            <w:tcW w:w="1223"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51359B92">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default" w:ascii="Segoe UI" w:hAnsi="Segoe UI" w:eastAsia="Segoe UI" w:cs="Segoe UI"/>
                <w:i w:val="0"/>
                <w:iCs w:val="0"/>
                <w:caps w:val="0"/>
                <w:spacing w:val="8"/>
                <w:sz w:val="21"/>
                <w:szCs w:val="21"/>
              </w:rPr>
            </w:pPr>
            <w:r>
              <w:rPr>
                <w:rStyle w:val="14"/>
                <w:rFonts w:hint="default" w:ascii="Segoe UI" w:hAnsi="Segoe UI" w:eastAsia="Segoe UI" w:cs="Segoe UI"/>
                <w:b/>
                <w:bCs/>
                <w:i w:val="0"/>
                <w:iCs w:val="0"/>
                <w:caps w:val="0"/>
                <w:spacing w:val="8"/>
                <w:kern w:val="0"/>
                <w:sz w:val="21"/>
                <w:szCs w:val="21"/>
                <w:vertAlign w:val="baseline"/>
                <w:lang w:val="en-US" w:eastAsia="zh-CN" w:bidi="ar"/>
              </w:rPr>
              <w:t>acceptable</w:t>
            </w:r>
          </w:p>
        </w:tc>
        <w:tc>
          <w:tcPr>
            <w:tcW w:w="1493"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1D5F09D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Segoe UI" w:hAnsi="Segoe UI" w:eastAsia="Segoe UI" w:cs="Segoe UI"/>
                <w:i w:val="0"/>
                <w:iCs w:val="0"/>
                <w:caps w:val="0"/>
                <w:spacing w:val="8"/>
                <w:sz w:val="21"/>
                <w:szCs w:val="21"/>
              </w:rPr>
            </w:pPr>
            <w:r>
              <w:rPr>
                <w:rFonts w:hint="default" w:ascii="Segoe UI" w:hAnsi="Segoe UI" w:eastAsia="Segoe UI" w:cs="Segoe UI"/>
                <w:i w:val="0"/>
                <w:iCs w:val="0"/>
                <w:caps w:val="0"/>
                <w:spacing w:val="8"/>
                <w:kern w:val="0"/>
                <w:sz w:val="21"/>
                <w:szCs w:val="21"/>
                <w:lang w:val="en-US" w:eastAsia="zh-CN" w:bidi="ar"/>
              </w:rPr>
              <w:t>确认第 2 轮数据合格，终止循环</w:t>
            </w:r>
          </w:p>
        </w:tc>
      </w:tr>
    </w:tbl>
    <w:p w14:paraId="7F18B7E8">
      <w:pPr>
        <w:pStyle w:val="29"/>
        <w:ind w:firstLine="480" w:firstLineChars="200"/>
        <w:rPr>
          <w:rFonts w:hint="default" w:ascii="Times New Roman" w:hAnsi="Times New Roman" w:cs="Times New Roman" w:eastAsiaTheme="minorEastAsia"/>
          <w:sz w:val="24"/>
          <w:lang w:val="en-US" w:eastAsia="zh-CN" w:bidi="ar-SA"/>
        </w:rPr>
      </w:pPr>
    </w:p>
    <w:p w14:paraId="7131DCC3">
      <w:pPr>
        <w:pStyle w:val="26"/>
        <w:spacing w:after="120"/>
      </w:pPr>
      <w:r>
        <w:t>Conclusion</w:t>
      </w:r>
    </w:p>
    <w:p w14:paraId="29ABD6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480" w:firstLineChars="200"/>
        <w:jc w:val="left"/>
        <w:textAlignment w:val="baseline"/>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vertAlign w:val="baseline"/>
          <w:lang w:val="en-US" w:eastAsia="zh-CN" w:bidi="ar"/>
        </w:rPr>
        <w:t>通过构建 TLC 多智能体优化系统，我深刻体会到将化学家的经验直觉转化为结构化智能体协作流程的价值。解释、调优与实验三个智能体的迭代闭环，不仅精准模拟了真实实验室中“观察—分析—调整”的试错逻辑，更展现了大语言模型在融合分子知识与优化策略时的独特潜力。这种“化学推理 + 自动实验”的范式，为智能化学实验设计提供了可扩展的框架。</w:t>
      </w:r>
    </w:p>
    <w:p w14:paraId="68DA62BA">
      <w:pPr>
        <w:pStyle w:val="16"/>
        <w:spacing w:after="120"/>
        <w:ind w:left="0" w:leftChars="0" w:firstLine="0" w:firstLineChars="0"/>
        <w:rPr>
          <w:lang w:eastAsia="zh-CN"/>
        </w:rPr>
      </w:pPr>
    </w:p>
    <w:p w14:paraId="3E5120C5">
      <w:pPr>
        <w:pStyle w:val="26"/>
        <w:spacing w:after="120"/>
        <w:rPr>
          <w:lang w:eastAsia="zh-CN"/>
        </w:rPr>
      </w:pPr>
      <w:r>
        <w:rPr>
          <w:rFonts w:hint="eastAsia"/>
          <w:lang w:eastAsia="zh-CN"/>
        </w:rPr>
        <w:t>R</w:t>
      </w:r>
      <w:r>
        <w:rPr>
          <w:lang w:eastAsia="zh-CN"/>
        </w:rPr>
        <w:t>eference</w:t>
      </w:r>
    </w:p>
    <w:p w14:paraId="727F9573">
      <w:pPr>
        <w:pStyle w:val="16"/>
        <w:spacing w:after="120"/>
        <w:rPr>
          <w:rFonts w:hint="eastAsia"/>
          <w:lang w:val="en-US" w:eastAsia="zh-CN"/>
        </w:rPr>
      </w:pPr>
      <w:r>
        <w:rPr>
          <w:rFonts w:hint="eastAsia"/>
          <w:lang w:val="en-US" w:eastAsia="zh-CN"/>
        </w:rPr>
        <w:t>智能体采用的主脑模型为</w:t>
      </w:r>
      <w:r>
        <w:rPr>
          <w:rFonts w:hint="eastAsia"/>
          <w:lang w:eastAsia="zh-CN"/>
        </w:rPr>
        <w:t>qwen3.5-397b-a17b</w:t>
      </w:r>
      <w:r>
        <w:rPr>
          <w:rFonts w:hint="eastAsia"/>
          <w:lang w:val="en-US" w:eastAsia="zh-CN"/>
        </w:rPr>
        <w:t>模型</w:t>
      </w:r>
    </w:p>
    <w:p w14:paraId="019AE330">
      <w:pPr>
        <w:pStyle w:val="16"/>
        <w:spacing w:after="120"/>
        <w:rPr>
          <w:rFonts w:hint="eastAsia"/>
          <w:lang w:val="en-US" w:eastAsia="zh-CN"/>
        </w:rPr>
      </w:pPr>
      <w:r>
        <w:rPr>
          <w:rFonts w:hint="eastAsia"/>
          <w:lang w:val="en-US" w:eastAsia="zh-CN"/>
        </w:rPr>
        <w:t>此外，尝试了对于理解文本能力较强的kimi-k2.5模型作为主脑模型，但发生如下错误：</w:t>
      </w:r>
    </w:p>
    <w:p w14:paraId="55FD5F28">
      <w:pPr>
        <w:pStyle w:val="16"/>
        <w:spacing w:after="120"/>
        <w:rPr>
          <w:rFonts w:hint="eastAsia"/>
          <w:lang w:val="en-US" w:eastAsia="zh-CN"/>
        </w:rPr>
      </w:pPr>
      <w:r>
        <w:rPr>
          <w:rFonts w:hint="eastAsia"/>
          <w:lang w:val="en-US" w:eastAsia="zh-CN"/>
        </w:rPr>
        <w:t>解释智能体只返回了一个字段,而且内容是 ": " 这种无意义字符串。缺失 meets_product_rf_target、meets_separation_target、overall_status、next_step_guidance 等所有关键字段,这会导致下游迭代逻辑直接崩溃(例如 explanation_result.get('overall_status') 会得到 None)。</w:t>
      </w:r>
    </w:p>
    <w:p w14:paraId="70E920D0">
      <w:pPr>
        <w:pStyle w:val="16"/>
        <w:spacing w:after="120"/>
        <w:ind w:left="0" w:leftChars="0" w:firstLine="480" w:firstLineChars="200"/>
        <w:rPr>
          <w:rFonts w:hint="eastAsia"/>
          <w:lang w:val="en-US" w:eastAsia="zh-CN"/>
        </w:rPr>
      </w:pPr>
      <w:r>
        <w:rPr>
          <w:rFonts w:hint="eastAsia"/>
          <w:lang w:val="en-US" w:eastAsia="zh-CN"/>
        </w:rPr>
        <w:t>组成调优智能体工作正常输出结构完整,推荐 10% EA 作为低极性起点,对单芳环底物来说是合理的。</w:t>
      </w:r>
    </w:p>
    <w:p w14:paraId="6B0C602E">
      <w:pPr>
        <w:pStyle w:val="16"/>
        <w:spacing w:after="120"/>
        <w:rPr>
          <w:rFonts w:hint="eastAsia"/>
          <w:lang w:val="en-US" w:eastAsia="zh-CN"/>
        </w:rPr>
      </w:pPr>
      <w:r>
        <w:rPr>
          <w:rFonts w:hint="eastAsia"/>
          <w:lang w:val="en-US" w:eastAsia="zh-CN"/>
        </w:rPr>
        <w:t>实验智能体（Experimentation Agent）完全损坏[ 2024 ]</w:t>
      </w:r>
    </w:p>
    <w:p w14:paraId="257B1721">
      <w:pPr>
        <w:pStyle w:val="16"/>
        <w:spacing w:after="120"/>
        <w:rPr>
          <w:rFonts w:hint="eastAsia"/>
          <w:lang w:val="en-US" w:eastAsia="zh-CN"/>
        </w:rPr>
      </w:pPr>
      <w:r>
        <w:rPr>
          <w:rFonts w:hint="eastAsia"/>
          <w:lang w:val="en-US" w:eastAsia="zh-CN"/>
        </w:rPr>
        <w:t>返回了一个数组而不是对象,且内容是无意义的 2024。完全没有遵循 schema,意味着后续 experiment_result.get('experiment_summary') 也会失败。</w:t>
      </w:r>
    </w:p>
    <w:p w14:paraId="6957A814">
      <w:pPr>
        <w:pStyle w:val="16"/>
        <w:spacing w:after="120"/>
        <w:rPr>
          <w:rFonts w:hint="default"/>
          <w:lang w:val="en-US" w:eastAsia="zh-CN"/>
        </w:rPr>
      </w:pPr>
      <w:r>
        <w:rPr>
          <w:rFonts w:hint="eastAsia"/>
          <w:lang w:val="en-US" w:eastAsia="zh-CN"/>
        </w:rPr>
        <w:t>推测原因：kimi-k2.5 模型对结构化 JSON 输出的遵循能力不稳定。即使设置了 response_format={"type": "json_object"},该模型在长系统提示词下经常输出 schema 不完整、甚至非对象类型的 JSON。</w:t>
      </w:r>
    </w:p>
    <w:sectPr>
      <w:type w:val="continuous"/>
      <w:pgSz w:w="11906" w:h="16838"/>
      <w:pgMar w:top="1361" w:right="907" w:bottom="1361" w:left="907" w:header="0" w:footer="0" w:gutter="0"/>
      <w:cols w:space="475" w:num="1"/>
      <w:docGrid w:linePitch="326"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szCs w:val="16"/>
      </w:rPr>
      <w:id w:val="-112749210"/>
      <w:docPartObj>
        <w:docPartGallery w:val="autotext"/>
      </w:docPartObj>
    </w:sdtPr>
    <w:sdtEndPr>
      <w:rPr>
        <w:rFonts w:ascii="Times New Roman" w:hAnsi="Times New Roman"/>
        <w:sz w:val="21"/>
        <w:szCs w:val="16"/>
      </w:rPr>
    </w:sdtEndPr>
    <w:sdtContent>
      <w:sdt>
        <w:sdtPr>
          <w:rPr>
            <w:rFonts w:ascii="Times New Roman" w:hAnsi="Times New Roman"/>
            <w:sz w:val="21"/>
            <w:szCs w:val="16"/>
          </w:rPr>
          <w:id w:val="1728636285"/>
          <w:docPartObj>
            <w:docPartGallery w:val="autotext"/>
          </w:docPartObj>
        </w:sdtPr>
        <w:sdtEndPr>
          <w:rPr>
            <w:rFonts w:ascii="Times New Roman" w:hAnsi="Times New Roman"/>
            <w:sz w:val="21"/>
            <w:szCs w:val="16"/>
          </w:rPr>
        </w:sdtEndPr>
        <w:sdtContent>
          <w:p w14:paraId="6024EEFB">
            <w:pPr>
              <w:pStyle w:val="7"/>
              <w:jc w:val="center"/>
              <w:rPr>
                <w:rFonts w:ascii="Times New Roman" w:hAnsi="Times New Roman"/>
                <w:sz w:val="21"/>
                <w:szCs w:val="16"/>
              </w:rPr>
            </w:pPr>
            <w:r>
              <w:rPr>
                <w:rFonts w:ascii="Times New Roman" w:hAnsi="Times New Roman"/>
                <w:sz w:val="21"/>
                <w:szCs w:val="16"/>
                <w:lang w:val="zh-CN" w:eastAsia="zh-CN"/>
              </w:rPr>
              <w:t xml:space="preserve"> </w:t>
            </w:r>
            <w:r>
              <w:rPr>
                <w:rFonts w:ascii="Times New Roman" w:hAnsi="Times New Roman"/>
                <w:sz w:val="21"/>
                <w:szCs w:val="21"/>
              </w:rPr>
              <w:fldChar w:fldCharType="begin"/>
            </w:r>
            <w:r>
              <w:rPr>
                <w:rFonts w:ascii="Times New Roman" w:hAnsi="Times New Roman"/>
                <w:sz w:val="21"/>
                <w:szCs w:val="16"/>
              </w:rPr>
              <w:instrText xml:space="preserve">PAGE</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r>
              <w:rPr>
                <w:rFonts w:ascii="Times New Roman" w:hAnsi="Times New Roman"/>
                <w:sz w:val="21"/>
                <w:szCs w:val="16"/>
                <w:lang w:val="zh-CN" w:eastAsia="zh-CN"/>
              </w:rPr>
              <w:t xml:space="preserve"> / </w:t>
            </w:r>
            <w:r>
              <w:rPr>
                <w:rFonts w:ascii="Times New Roman" w:hAnsi="Times New Roman"/>
                <w:sz w:val="21"/>
                <w:szCs w:val="21"/>
              </w:rPr>
              <w:fldChar w:fldCharType="begin"/>
            </w:r>
            <w:r>
              <w:rPr>
                <w:rFonts w:ascii="Times New Roman" w:hAnsi="Times New Roman"/>
                <w:sz w:val="21"/>
                <w:szCs w:val="16"/>
              </w:rPr>
              <w:instrText xml:space="preserve">NUMPAGES</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p>
        </w:sdtContent>
      </w:sdt>
    </w:sdtContent>
  </w:sdt>
  <w:p w14:paraId="34A1ECD6">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6DFB4">
    <w:pPr>
      <w:pStyle w:val="7"/>
      <w:framePr w:wrap="around" w:vAnchor="text" w:hAnchor="margin" w:xAlign="right" w:y="1"/>
    </w:pPr>
    <w:r>
      <w:fldChar w:fldCharType="begin"/>
    </w:r>
    <w:r>
      <w:instrText xml:space="preserve">PAGE  </w:instrText>
    </w:r>
    <w:r>
      <w:fldChar w:fldCharType="separate"/>
    </w:r>
    <w:r>
      <w:t>1</w:t>
    </w:r>
    <w:r>
      <w:fldChar w:fldCharType="end"/>
    </w:r>
  </w:p>
  <w:p w14:paraId="5B70C837">
    <w:pPr>
      <w:pStyle w:val="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hyphenationZone w:val="0"/>
  <w:doNotHyphenateCaps/>
  <w:drawingGridHorizontalSpacing w:val="0"/>
  <w:drawingGridVertic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702AD"/>
    <w:rsid w:val="00070923"/>
    <w:rsid w:val="00071202"/>
    <w:rsid w:val="00071381"/>
    <w:rsid w:val="00072F2A"/>
    <w:rsid w:val="00072F99"/>
    <w:rsid w:val="0007340C"/>
    <w:rsid w:val="00073A76"/>
    <w:rsid w:val="00073E2A"/>
    <w:rsid w:val="00073F02"/>
    <w:rsid w:val="000740D8"/>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C8E"/>
    <w:rsid w:val="00160D1B"/>
    <w:rsid w:val="00161026"/>
    <w:rsid w:val="00161E55"/>
    <w:rsid w:val="00161EC4"/>
    <w:rsid w:val="00162764"/>
    <w:rsid w:val="0016296C"/>
    <w:rsid w:val="0016301B"/>
    <w:rsid w:val="001702A8"/>
    <w:rsid w:val="001705F5"/>
    <w:rsid w:val="00170AF5"/>
    <w:rsid w:val="00174BCA"/>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A1E"/>
    <w:rsid w:val="00235303"/>
    <w:rsid w:val="00236A17"/>
    <w:rsid w:val="00237998"/>
    <w:rsid w:val="00237FE2"/>
    <w:rsid w:val="00240151"/>
    <w:rsid w:val="00240BD9"/>
    <w:rsid w:val="002424FF"/>
    <w:rsid w:val="0024252F"/>
    <w:rsid w:val="00245B79"/>
    <w:rsid w:val="00246593"/>
    <w:rsid w:val="002466B7"/>
    <w:rsid w:val="0024736B"/>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6806"/>
    <w:rsid w:val="002D0109"/>
    <w:rsid w:val="002D0500"/>
    <w:rsid w:val="002D24F0"/>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6AF"/>
    <w:rsid w:val="00355C5F"/>
    <w:rsid w:val="00356541"/>
    <w:rsid w:val="00356A0C"/>
    <w:rsid w:val="00356ED7"/>
    <w:rsid w:val="00357287"/>
    <w:rsid w:val="00361581"/>
    <w:rsid w:val="00361992"/>
    <w:rsid w:val="00361DE9"/>
    <w:rsid w:val="00361E35"/>
    <w:rsid w:val="003648FA"/>
    <w:rsid w:val="00364D65"/>
    <w:rsid w:val="0036539C"/>
    <w:rsid w:val="003664E9"/>
    <w:rsid w:val="003678F0"/>
    <w:rsid w:val="003679A1"/>
    <w:rsid w:val="003710A9"/>
    <w:rsid w:val="003728E4"/>
    <w:rsid w:val="00372F33"/>
    <w:rsid w:val="00373F10"/>
    <w:rsid w:val="003744CB"/>
    <w:rsid w:val="00374A8E"/>
    <w:rsid w:val="003759EE"/>
    <w:rsid w:val="00376592"/>
    <w:rsid w:val="003768F3"/>
    <w:rsid w:val="003800B6"/>
    <w:rsid w:val="00380C28"/>
    <w:rsid w:val="003810D3"/>
    <w:rsid w:val="003819C4"/>
    <w:rsid w:val="0038397B"/>
    <w:rsid w:val="0038486A"/>
    <w:rsid w:val="003854DF"/>
    <w:rsid w:val="003857E4"/>
    <w:rsid w:val="00387180"/>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F0DF0"/>
    <w:rsid w:val="003F126B"/>
    <w:rsid w:val="003F1309"/>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FD2"/>
    <w:rsid w:val="00412C70"/>
    <w:rsid w:val="00413886"/>
    <w:rsid w:val="00414837"/>
    <w:rsid w:val="0041499B"/>
    <w:rsid w:val="004152CE"/>
    <w:rsid w:val="00415422"/>
    <w:rsid w:val="004161E4"/>
    <w:rsid w:val="00417347"/>
    <w:rsid w:val="00417CF5"/>
    <w:rsid w:val="00417D13"/>
    <w:rsid w:val="00426AF9"/>
    <w:rsid w:val="00427718"/>
    <w:rsid w:val="00430702"/>
    <w:rsid w:val="0043074D"/>
    <w:rsid w:val="00431C5B"/>
    <w:rsid w:val="00433371"/>
    <w:rsid w:val="0043370C"/>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84E"/>
    <w:rsid w:val="004C77D5"/>
    <w:rsid w:val="004D0793"/>
    <w:rsid w:val="004D0999"/>
    <w:rsid w:val="004D257B"/>
    <w:rsid w:val="004D2F34"/>
    <w:rsid w:val="004D4109"/>
    <w:rsid w:val="004D5E9B"/>
    <w:rsid w:val="004D5F8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AE8"/>
    <w:rsid w:val="00504379"/>
    <w:rsid w:val="0050457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C0F"/>
    <w:rsid w:val="005F3CFD"/>
    <w:rsid w:val="005F42FA"/>
    <w:rsid w:val="005F6A2C"/>
    <w:rsid w:val="005F7DFD"/>
    <w:rsid w:val="006001AE"/>
    <w:rsid w:val="00600CC8"/>
    <w:rsid w:val="00604A97"/>
    <w:rsid w:val="006062A4"/>
    <w:rsid w:val="00606C1B"/>
    <w:rsid w:val="006077FE"/>
    <w:rsid w:val="00610DB0"/>
    <w:rsid w:val="00613F8F"/>
    <w:rsid w:val="006143E5"/>
    <w:rsid w:val="00614EB4"/>
    <w:rsid w:val="00614E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C7C"/>
    <w:rsid w:val="006676D2"/>
    <w:rsid w:val="006707F9"/>
    <w:rsid w:val="00670A27"/>
    <w:rsid w:val="00671CE6"/>
    <w:rsid w:val="00675EFF"/>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C0307"/>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4E1"/>
    <w:rsid w:val="00700CDB"/>
    <w:rsid w:val="00701338"/>
    <w:rsid w:val="00703ADC"/>
    <w:rsid w:val="0070425C"/>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959"/>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BA3"/>
    <w:rsid w:val="007F479B"/>
    <w:rsid w:val="007F4DC0"/>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2047"/>
    <w:rsid w:val="00872FE5"/>
    <w:rsid w:val="00873DFE"/>
    <w:rsid w:val="00874119"/>
    <w:rsid w:val="00874167"/>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A83"/>
    <w:rsid w:val="008C18F2"/>
    <w:rsid w:val="008C25B1"/>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F18"/>
    <w:rsid w:val="008E247E"/>
    <w:rsid w:val="008E25F0"/>
    <w:rsid w:val="008E4072"/>
    <w:rsid w:val="008E4F6B"/>
    <w:rsid w:val="008E5A52"/>
    <w:rsid w:val="008E6C83"/>
    <w:rsid w:val="008E6E09"/>
    <w:rsid w:val="008E7991"/>
    <w:rsid w:val="008E7BC7"/>
    <w:rsid w:val="008E7EAE"/>
    <w:rsid w:val="008F0225"/>
    <w:rsid w:val="008F0499"/>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6612"/>
    <w:rsid w:val="009508C5"/>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C29"/>
    <w:rsid w:val="009F2E7E"/>
    <w:rsid w:val="009F2F32"/>
    <w:rsid w:val="009F4360"/>
    <w:rsid w:val="009F48C0"/>
    <w:rsid w:val="009F5E9A"/>
    <w:rsid w:val="009F6D8E"/>
    <w:rsid w:val="009F7542"/>
    <w:rsid w:val="009F75D0"/>
    <w:rsid w:val="00A0040D"/>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4B4C"/>
    <w:rsid w:val="00A75842"/>
    <w:rsid w:val="00A764EF"/>
    <w:rsid w:val="00A81197"/>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7BEA"/>
    <w:rsid w:val="00B47C59"/>
    <w:rsid w:val="00B50573"/>
    <w:rsid w:val="00B51059"/>
    <w:rsid w:val="00B5141E"/>
    <w:rsid w:val="00B520A1"/>
    <w:rsid w:val="00B527BC"/>
    <w:rsid w:val="00B52E99"/>
    <w:rsid w:val="00B53281"/>
    <w:rsid w:val="00B56C25"/>
    <w:rsid w:val="00B56EDC"/>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C3C"/>
    <w:rsid w:val="00BA2F93"/>
    <w:rsid w:val="00BA30A9"/>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C44"/>
    <w:rsid w:val="00BD2FEA"/>
    <w:rsid w:val="00BD3584"/>
    <w:rsid w:val="00BD38AA"/>
    <w:rsid w:val="00BD5233"/>
    <w:rsid w:val="00BD5667"/>
    <w:rsid w:val="00BD61A1"/>
    <w:rsid w:val="00BD7016"/>
    <w:rsid w:val="00BD7065"/>
    <w:rsid w:val="00BD78FD"/>
    <w:rsid w:val="00BE107D"/>
    <w:rsid w:val="00BE1531"/>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C48"/>
    <w:rsid w:val="00C32257"/>
    <w:rsid w:val="00C32F7C"/>
    <w:rsid w:val="00C34211"/>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1980"/>
    <w:rsid w:val="00C8445B"/>
    <w:rsid w:val="00C849F9"/>
    <w:rsid w:val="00C85697"/>
    <w:rsid w:val="00C85FC1"/>
    <w:rsid w:val="00C86537"/>
    <w:rsid w:val="00C87E0B"/>
    <w:rsid w:val="00C87F56"/>
    <w:rsid w:val="00C90570"/>
    <w:rsid w:val="00C909A9"/>
    <w:rsid w:val="00C90DFD"/>
    <w:rsid w:val="00C91D9E"/>
    <w:rsid w:val="00C9253B"/>
    <w:rsid w:val="00C930EC"/>
    <w:rsid w:val="00C9402D"/>
    <w:rsid w:val="00C956AF"/>
    <w:rsid w:val="00C96A6F"/>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2DE2"/>
    <w:rsid w:val="00CC42C4"/>
    <w:rsid w:val="00CC504B"/>
    <w:rsid w:val="00CC6276"/>
    <w:rsid w:val="00CC69AD"/>
    <w:rsid w:val="00CD0BD4"/>
    <w:rsid w:val="00CD1EC8"/>
    <w:rsid w:val="00CD26FE"/>
    <w:rsid w:val="00CD27EC"/>
    <w:rsid w:val="00CD50D1"/>
    <w:rsid w:val="00CD6B1D"/>
    <w:rsid w:val="00CE065D"/>
    <w:rsid w:val="00CE0AFF"/>
    <w:rsid w:val="00CE13E1"/>
    <w:rsid w:val="00CE2320"/>
    <w:rsid w:val="00CE39E9"/>
    <w:rsid w:val="00CE3D01"/>
    <w:rsid w:val="00CE63E5"/>
    <w:rsid w:val="00CE7399"/>
    <w:rsid w:val="00CE73AF"/>
    <w:rsid w:val="00CF0863"/>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69"/>
    <w:rsid w:val="00D833FE"/>
    <w:rsid w:val="00D8395D"/>
    <w:rsid w:val="00D83FBB"/>
    <w:rsid w:val="00D84B81"/>
    <w:rsid w:val="00D8532E"/>
    <w:rsid w:val="00D85AE2"/>
    <w:rsid w:val="00D85F70"/>
    <w:rsid w:val="00D8625D"/>
    <w:rsid w:val="00D86DC2"/>
    <w:rsid w:val="00D87A83"/>
    <w:rsid w:val="00D90DFA"/>
    <w:rsid w:val="00D90E6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74F2"/>
    <w:rsid w:val="00E10931"/>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4D99"/>
    <w:rsid w:val="00E67807"/>
    <w:rsid w:val="00E6785C"/>
    <w:rsid w:val="00E70A26"/>
    <w:rsid w:val="00E70E65"/>
    <w:rsid w:val="00E72EBE"/>
    <w:rsid w:val="00E73057"/>
    <w:rsid w:val="00E7356C"/>
    <w:rsid w:val="00E7371F"/>
    <w:rsid w:val="00E75DBE"/>
    <w:rsid w:val="00E77FDE"/>
    <w:rsid w:val="00E8061F"/>
    <w:rsid w:val="00E80799"/>
    <w:rsid w:val="00E80DCC"/>
    <w:rsid w:val="00E8131E"/>
    <w:rsid w:val="00E814BB"/>
    <w:rsid w:val="00E816F3"/>
    <w:rsid w:val="00E8435F"/>
    <w:rsid w:val="00E84869"/>
    <w:rsid w:val="00E8543E"/>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1882"/>
    <w:rsid w:val="00F91F54"/>
    <w:rsid w:val="00F91FF5"/>
    <w:rsid w:val="00F9229D"/>
    <w:rsid w:val="00F929F3"/>
    <w:rsid w:val="00F94F10"/>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E150B"/>
    <w:rsid w:val="00FE1A3F"/>
    <w:rsid w:val="00FE1BAF"/>
    <w:rsid w:val="00FE3A7A"/>
    <w:rsid w:val="00FE3BB7"/>
    <w:rsid w:val="00FE5970"/>
    <w:rsid w:val="00FE6219"/>
    <w:rsid w:val="00FE6A2A"/>
    <w:rsid w:val="00FE763C"/>
    <w:rsid w:val="00FF00E1"/>
    <w:rsid w:val="00FF0261"/>
    <w:rsid w:val="00FF1BAC"/>
    <w:rsid w:val="00FF1C77"/>
    <w:rsid w:val="00FF29CC"/>
    <w:rsid w:val="00FF2D4B"/>
    <w:rsid w:val="00FF769B"/>
    <w:rsid w:val="00FF7A1A"/>
    <w:rsid w:val="18C9523B"/>
    <w:rsid w:val="29813F64"/>
    <w:rsid w:val="29951D8D"/>
    <w:rsid w:val="2B0D5692"/>
    <w:rsid w:val="2FF81AF9"/>
    <w:rsid w:val="32317416"/>
    <w:rsid w:val="34300763"/>
    <w:rsid w:val="35040D40"/>
    <w:rsid w:val="353F090E"/>
    <w:rsid w:val="37324B78"/>
    <w:rsid w:val="3EAA6AC2"/>
    <w:rsid w:val="433907B2"/>
    <w:rsid w:val="51446242"/>
    <w:rsid w:val="52993FA7"/>
    <w:rsid w:val="532C2AC3"/>
    <w:rsid w:val="593C4376"/>
    <w:rsid w:val="5CB87D6C"/>
    <w:rsid w:val="5E292495"/>
    <w:rsid w:val="6028470C"/>
    <w:rsid w:val="61E37B28"/>
    <w:rsid w:val="64013F44"/>
    <w:rsid w:val="6EA02AF8"/>
    <w:rsid w:val="77EB57DA"/>
    <w:rsid w:val="78552D45"/>
    <w:rsid w:val="785C70CB"/>
    <w:rsid w:val="7BD219B7"/>
    <w:rsid w:val="7F5F7E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iPriority="0" w:name="annotation text"/>
    <w:lsdException w:uiPriority="0" w:name="header"/>
    <w:lsdException w:qFormat="1" w:unhideWhenUsed="0" w:uiPriority="99"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jc w:val="both"/>
    </w:pPr>
    <w:rPr>
      <w:rFonts w:ascii="Times" w:hAnsi="Times" w:cs="Times New Roman" w:eastAsiaTheme="minorEastAsia"/>
      <w:sz w:val="24"/>
      <w:lang w:val="en-US" w:eastAsia="en-US"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semiHidden/>
    <w:unhideWhenUsed/>
    <w:qFormat/>
    <w:uiPriority w:val="0"/>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0"/>
    <w:semiHidden/>
    <w:unhideWhenUsed/>
    <w:qFormat/>
    <w:uiPriority w:val="0"/>
    <w:rPr>
      <w:sz w:val="20"/>
    </w:rPr>
  </w:style>
  <w:style w:type="paragraph" w:styleId="6">
    <w:name w:val="Balloon Text"/>
    <w:basedOn w:val="1"/>
    <w:semiHidden/>
    <w:qFormat/>
    <w:uiPriority w:val="0"/>
    <w:rPr>
      <w:rFonts w:ascii="Tahoma" w:hAnsi="Tahoma" w:cs="Tahoma"/>
      <w:sz w:val="16"/>
      <w:szCs w:val="16"/>
    </w:rPr>
  </w:style>
  <w:style w:type="paragraph" w:styleId="7">
    <w:name w:val="footer"/>
    <w:basedOn w:val="1"/>
    <w:link w:val="36"/>
    <w:qFormat/>
    <w:uiPriority w:val="99"/>
    <w:pPr>
      <w:tabs>
        <w:tab w:val="center" w:pos="4320"/>
        <w:tab w:val="right" w:pos="8640"/>
      </w:tabs>
    </w:pPr>
  </w:style>
  <w:style w:type="paragraph" w:styleId="8">
    <w:name w:val="footnote text"/>
    <w:basedOn w:val="1"/>
    <w:next w:val="1"/>
    <w:semiHidden/>
    <w:qFormat/>
    <w:uiPriority w:val="0"/>
  </w:style>
  <w:style w:type="paragraph" w:styleId="9">
    <w:name w:val="Normal (Web)"/>
    <w:basedOn w:val="1"/>
    <w:semiHidden/>
    <w:unhideWhenUsed/>
    <w:qFormat/>
    <w:uiPriority w:val="99"/>
    <w:pPr>
      <w:spacing w:before="100" w:beforeAutospacing="1" w:after="100" w:afterAutospacing="1"/>
      <w:jc w:val="left"/>
    </w:pPr>
    <w:rPr>
      <w:rFonts w:ascii="宋体" w:hAnsi="宋体" w:eastAsia="宋体" w:cs="宋体"/>
      <w:szCs w:val="24"/>
      <w:lang w:eastAsia="zh-CN"/>
    </w:rPr>
  </w:style>
  <w:style w:type="paragraph" w:styleId="10">
    <w:name w:val="annotation subject"/>
    <w:basedOn w:val="5"/>
    <w:next w:val="5"/>
    <w:link w:val="21"/>
    <w:semiHidden/>
    <w:unhideWhenUsed/>
    <w:qFormat/>
    <w:uiPriority w:val="0"/>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annotation reference"/>
    <w:basedOn w:val="13"/>
    <w:semiHidden/>
    <w:unhideWhenUsed/>
    <w:qFormat/>
    <w:uiPriority w:val="0"/>
    <w:rPr>
      <w:sz w:val="16"/>
      <w:szCs w:val="16"/>
    </w:rPr>
  </w:style>
  <w:style w:type="paragraph" w:customStyle="1" w:styleId="16">
    <w:name w:val="Main Text"/>
    <w:basedOn w:val="1"/>
    <w:link w:val="30"/>
    <w:qFormat/>
    <w:uiPriority w:val="0"/>
    <w:pPr>
      <w:adjustRightInd w:val="0"/>
      <w:snapToGrid w:val="0"/>
      <w:spacing w:after="50" w:afterLines="50" w:line="300" w:lineRule="auto"/>
      <w:ind w:firstLine="200" w:firstLineChars="200"/>
    </w:pPr>
    <w:rPr>
      <w:rFonts w:ascii="Times New Roman" w:hAnsi="Times New Roman"/>
    </w:rPr>
  </w:style>
  <w:style w:type="paragraph" w:customStyle="1" w:styleId="17">
    <w:name w:val="Default"/>
    <w:qFormat/>
    <w:uiPriority w:val="0"/>
    <w:pPr>
      <w:autoSpaceDE w:val="0"/>
      <w:autoSpaceDN w:val="0"/>
      <w:adjustRightInd w:val="0"/>
    </w:pPr>
    <w:rPr>
      <w:rFonts w:ascii="Symbol" w:hAnsi="Symbol" w:cs="Symbol" w:eastAsiaTheme="minorEastAsia"/>
      <w:color w:val="000000"/>
      <w:sz w:val="24"/>
      <w:szCs w:val="24"/>
      <w:lang w:val="en-US" w:eastAsia="en-US" w:bidi="ar-SA"/>
    </w:rPr>
  </w:style>
  <w:style w:type="character" w:customStyle="1" w:styleId="18">
    <w:name w:val="标题 1 字符"/>
    <w:basedOn w:val="13"/>
    <w:link w:val="2"/>
    <w:qFormat/>
    <w:uiPriority w:val="0"/>
    <w:rPr>
      <w:rFonts w:ascii="Times" w:hAnsi="Times"/>
      <w:b/>
      <w:bCs/>
      <w:kern w:val="44"/>
      <w:sz w:val="44"/>
      <w:szCs w:val="44"/>
    </w:rPr>
  </w:style>
  <w:style w:type="character" w:styleId="19">
    <w:name w:val="Placeholder Text"/>
    <w:basedOn w:val="13"/>
    <w:semiHidden/>
    <w:qFormat/>
    <w:uiPriority w:val="99"/>
    <w:rPr>
      <w:color w:val="808080"/>
    </w:rPr>
  </w:style>
  <w:style w:type="character" w:customStyle="1" w:styleId="20">
    <w:name w:val="批注文字 字符"/>
    <w:basedOn w:val="13"/>
    <w:link w:val="5"/>
    <w:semiHidden/>
    <w:qFormat/>
    <w:uiPriority w:val="0"/>
    <w:rPr>
      <w:rFonts w:ascii="Times" w:hAnsi="Times"/>
    </w:rPr>
  </w:style>
  <w:style w:type="character" w:customStyle="1" w:styleId="21">
    <w:name w:val="批注主题 字符"/>
    <w:basedOn w:val="20"/>
    <w:link w:val="10"/>
    <w:semiHidden/>
    <w:qFormat/>
    <w:uiPriority w:val="0"/>
    <w:rPr>
      <w:rFonts w:ascii="Times" w:hAnsi="Times"/>
      <w:b/>
      <w:bCs/>
    </w:rPr>
  </w:style>
  <w:style w:type="paragraph" w:customStyle="1" w:styleId="22">
    <w:name w:val="Revision"/>
    <w:hidden/>
    <w:semiHidden/>
    <w:qFormat/>
    <w:uiPriority w:val="99"/>
    <w:rPr>
      <w:rFonts w:ascii="Times" w:hAnsi="Times" w:cs="Times New Roman" w:eastAsiaTheme="minorEastAsia"/>
      <w:sz w:val="24"/>
      <w:lang w:val="en-US" w:eastAsia="en-US" w:bidi="ar-SA"/>
    </w:rPr>
  </w:style>
  <w:style w:type="character" w:customStyle="1" w:styleId="23">
    <w:name w:val="标题 2 字符"/>
    <w:basedOn w:val="13"/>
    <w:link w:val="3"/>
    <w:semiHidden/>
    <w:qFormat/>
    <w:uiPriority w:val="0"/>
    <w:rPr>
      <w:rFonts w:asciiTheme="majorHAnsi" w:hAnsiTheme="majorHAnsi" w:eastAsiaTheme="majorEastAsia" w:cstheme="majorBidi"/>
      <w:color w:val="376092" w:themeColor="accent1" w:themeShade="BF"/>
      <w:sz w:val="26"/>
      <w:szCs w:val="26"/>
    </w:rPr>
  </w:style>
  <w:style w:type="table" w:customStyle="1" w:styleId="24">
    <w:name w:val="网格型1"/>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2"/>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title 1"/>
    <w:basedOn w:val="16"/>
    <w:next w:val="16"/>
    <w:link w:val="28"/>
    <w:qFormat/>
    <w:uiPriority w:val="0"/>
    <w:pPr>
      <w:ind w:firstLine="0" w:firstLineChars="0"/>
      <w:outlineLvl w:val="0"/>
    </w:pPr>
    <w:rPr>
      <w:rFonts w:eastAsia="Times New Roman"/>
      <w:b/>
      <w:sz w:val="30"/>
    </w:rPr>
  </w:style>
  <w:style w:type="paragraph" w:customStyle="1" w:styleId="27">
    <w:name w:val="title 2"/>
    <w:basedOn w:val="16"/>
    <w:next w:val="16"/>
    <w:link w:val="31"/>
    <w:qFormat/>
    <w:uiPriority w:val="0"/>
    <w:pPr>
      <w:ind w:firstLine="0" w:firstLineChars="0"/>
      <w:outlineLvl w:val="1"/>
    </w:pPr>
    <w:rPr>
      <w:rFonts w:eastAsia="Times New Roman"/>
      <w:b/>
      <w:sz w:val="28"/>
    </w:rPr>
  </w:style>
  <w:style w:type="character" w:customStyle="1" w:styleId="28">
    <w:name w:val="title 1 字符"/>
    <w:basedOn w:val="13"/>
    <w:link w:val="26"/>
    <w:qFormat/>
    <w:uiPriority w:val="0"/>
    <w:rPr>
      <w:rFonts w:ascii="Times New Roman" w:hAnsi="Times New Roman" w:eastAsia="Times New Roman"/>
      <w:b/>
      <w:sz w:val="30"/>
    </w:rPr>
  </w:style>
  <w:style w:type="paragraph" w:customStyle="1" w:styleId="29">
    <w:name w:val="figure caption"/>
    <w:basedOn w:val="1"/>
    <w:link w:val="33"/>
    <w:qFormat/>
    <w:uiPriority w:val="0"/>
    <w:pPr>
      <w:spacing w:after="240" w:afterLines="100"/>
    </w:pPr>
    <w:rPr>
      <w:rFonts w:ascii="Arial" w:hAnsi="Arial" w:eastAsia="仿宋"/>
      <w:sz w:val="21"/>
    </w:rPr>
  </w:style>
  <w:style w:type="character" w:customStyle="1" w:styleId="30">
    <w:name w:val="Main Text 字符"/>
    <w:basedOn w:val="13"/>
    <w:link w:val="16"/>
    <w:qFormat/>
    <w:uiPriority w:val="0"/>
    <w:rPr>
      <w:rFonts w:ascii="Times New Roman" w:hAnsi="Times New Roman"/>
      <w:sz w:val="24"/>
    </w:rPr>
  </w:style>
  <w:style w:type="character" w:customStyle="1" w:styleId="31">
    <w:name w:val="title 2 字符"/>
    <w:basedOn w:val="30"/>
    <w:link w:val="27"/>
    <w:qFormat/>
    <w:uiPriority w:val="0"/>
    <w:rPr>
      <w:rFonts w:ascii="Times New Roman" w:hAnsi="Times New Roman" w:eastAsia="Times New Roman"/>
      <w:b/>
      <w:sz w:val="28"/>
    </w:rPr>
  </w:style>
  <w:style w:type="paragraph" w:customStyle="1" w:styleId="32">
    <w:name w:val="figure"/>
    <w:basedOn w:val="16"/>
    <w:link w:val="34"/>
    <w:qFormat/>
    <w:uiPriority w:val="0"/>
    <w:pPr>
      <w:spacing w:line="240" w:lineRule="auto"/>
      <w:ind w:firstLine="0" w:firstLineChars="0"/>
      <w:jc w:val="center"/>
    </w:pPr>
    <w:rPr>
      <w:rFonts w:eastAsia="Times New Roman"/>
    </w:rPr>
  </w:style>
  <w:style w:type="character" w:customStyle="1" w:styleId="33">
    <w:name w:val="figure caption 字符"/>
    <w:basedOn w:val="13"/>
    <w:link w:val="29"/>
    <w:qFormat/>
    <w:uiPriority w:val="0"/>
    <w:rPr>
      <w:rFonts w:ascii="Arial" w:hAnsi="Arial" w:eastAsia="仿宋"/>
      <w:sz w:val="21"/>
    </w:rPr>
  </w:style>
  <w:style w:type="character" w:customStyle="1" w:styleId="34">
    <w:name w:val="figure 字符"/>
    <w:basedOn w:val="30"/>
    <w:link w:val="32"/>
    <w:qFormat/>
    <w:uiPriority w:val="0"/>
    <w:rPr>
      <w:rFonts w:ascii="Times New Roman" w:hAnsi="Times New Roman" w:eastAsia="Times New Roman"/>
      <w:sz w:val="24"/>
    </w:rPr>
  </w:style>
  <w:style w:type="paragraph" w:customStyle="1" w:styleId="35">
    <w:name w:val="title 3"/>
    <w:basedOn w:val="16"/>
    <w:next w:val="16"/>
    <w:link w:val="37"/>
    <w:qFormat/>
    <w:uiPriority w:val="0"/>
    <w:pPr>
      <w:ind w:firstLine="0" w:firstLineChars="0"/>
      <w:outlineLvl w:val="2"/>
    </w:pPr>
    <w:rPr>
      <w:rFonts w:eastAsia="宋体"/>
      <w:u w:val="single"/>
      <w:lang w:eastAsia="zh-CN"/>
    </w:rPr>
  </w:style>
  <w:style w:type="character" w:customStyle="1" w:styleId="36">
    <w:name w:val="页脚 字符"/>
    <w:basedOn w:val="13"/>
    <w:link w:val="7"/>
    <w:qFormat/>
    <w:uiPriority w:val="99"/>
    <w:rPr>
      <w:rFonts w:ascii="Times" w:hAnsi="Times"/>
      <w:sz w:val="24"/>
    </w:rPr>
  </w:style>
  <w:style w:type="character" w:customStyle="1" w:styleId="37">
    <w:name w:val="title 3 字符"/>
    <w:basedOn w:val="30"/>
    <w:link w:val="35"/>
    <w:qFormat/>
    <w:uiPriority w:val="0"/>
    <w:rPr>
      <w:rFonts w:ascii="Times New Roman" w:hAnsi="Times New Roman" w:eastAsia="宋体"/>
      <w:sz w:val="24"/>
      <w:u w:val="single"/>
      <w:lang w:eastAsia="zh-CN"/>
    </w:rPr>
  </w:style>
  <w:style w:type="paragraph" w:customStyle="1" w:styleId="38">
    <w:name w:val="author info"/>
    <w:basedOn w:val="16"/>
    <w:link w:val="40"/>
    <w:qFormat/>
    <w:uiPriority w:val="0"/>
    <w:pPr>
      <w:spacing w:after="120"/>
      <w:jc w:val="center"/>
    </w:pPr>
    <w:rPr>
      <w:lang w:eastAsia="zh-CN"/>
    </w:rPr>
  </w:style>
  <w:style w:type="paragraph" w:customStyle="1" w:styleId="39">
    <w:name w:val="article title"/>
    <w:basedOn w:val="1"/>
    <w:link w:val="42"/>
    <w:qFormat/>
    <w:uiPriority w:val="0"/>
    <w:pPr>
      <w:adjustRightInd w:val="0"/>
      <w:snapToGrid w:val="0"/>
      <w:spacing w:after="120" w:line="360" w:lineRule="auto"/>
      <w:jc w:val="center"/>
    </w:pPr>
    <w:rPr>
      <w:rFonts w:ascii="Times New Roman" w:hAnsi="Times New Roman"/>
      <w:b/>
      <w:bCs/>
      <w:sz w:val="36"/>
      <w:szCs w:val="15"/>
      <w:lang w:eastAsia="zh-CN"/>
    </w:rPr>
  </w:style>
  <w:style w:type="character" w:customStyle="1" w:styleId="40">
    <w:name w:val="author info 字符"/>
    <w:basedOn w:val="30"/>
    <w:link w:val="38"/>
    <w:qFormat/>
    <w:uiPriority w:val="0"/>
    <w:rPr>
      <w:rFonts w:ascii="Times New Roman" w:hAnsi="Times New Roman"/>
      <w:sz w:val="24"/>
      <w:lang w:eastAsia="zh-CN"/>
    </w:rPr>
  </w:style>
  <w:style w:type="paragraph" w:customStyle="1" w:styleId="41">
    <w:name w:val="abstract"/>
    <w:basedOn w:val="16"/>
    <w:link w:val="43"/>
    <w:qFormat/>
    <w:uiPriority w:val="0"/>
    <w:pPr>
      <w:ind w:firstLine="0" w:firstLineChars="0"/>
    </w:pPr>
    <w:rPr>
      <w:rFonts w:eastAsia="仿宋"/>
      <w:lang w:eastAsia="zh-CN"/>
    </w:rPr>
  </w:style>
  <w:style w:type="character" w:customStyle="1" w:styleId="42">
    <w:name w:val="article title 字符"/>
    <w:basedOn w:val="13"/>
    <w:link w:val="39"/>
    <w:uiPriority w:val="0"/>
    <w:rPr>
      <w:rFonts w:ascii="Times New Roman" w:hAnsi="Times New Roman"/>
      <w:b/>
      <w:bCs/>
      <w:sz w:val="36"/>
      <w:szCs w:val="15"/>
      <w:lang w:eastAsia="zh-CN"/>
    </w:rPr>
  </w:style>
  <w:style w:type="character" w:customStyle="1" w:styleId="43">
    <w:name w:val="abstract 字符"/>
    <w:basedOn w:val="30"/>
    <w:link w:val="41"/>
    <w:qFormat/>
    <w:uiPriority w:val="0"/>
    <w:rPr>
      <w:rFonts w:ascii="Times New Roman" w:hAnsi="Times New Roman" w:eastAsia="仿宋"/>
      <w:sz w:val="24"/>
      <w:lang w:eastAsia="zh-CN"/>
    </w:rPr>
  </w:style>
  <w:style w:type="paragraph" w:customStyle="1" w:styleId="44">
    <w:name w:val="reference"/>
    <w:basedOn w:val="16"/>
    <w:link w:val="45"/>
    <w:qFormat/>
    <w:uiPriority w:val="0"/>
    <w:pPr>
      <w:ind w:firstLine="0" w:firstLineChars="0"/>
    </w:pPr>
    <w:rPr>
      <w:sz w:val="21"/>
      <w:lang w:eastAsia="zh-CN"/>
    </w:rPr>
  </w:style>
  <w:style w:type="character" w:customStyle="1" w:styleId="45">
    <w:name w:val="reference 字符"/>
    <w:basedOn w:val="30"/>
    <w:link w:val="44"/>
    <w:qFormat/>
    <w:uiPriority w:val="0"/>
    <w:rPr>
      <w:rFonts w:ascii="Times New Roman" w:hAnsi="Times New Roman"/>
      <w:sz w:val="21"/>
      <w:lang w:eastAsia="zh-CN"/>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microsoft.com/office/2006/relationships/keyMapCustomizations" Target="customizations.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datastoreItem>
</file>

<file path=docProps/app.xml><?xml version="1.0" encoding="utf-8"?>
<Properties xmlns="http://schemas.openxmlformats.org/officeDocument/2006/extended-properties" xmlns:vt="http://schemas.openxmlformats.org/officeDocument/2006/docPropsVTypes">
  <Template>Normal.dotm</Template>
  <Company>ACS</Company>
  <Pages>6</Pages>
  <Words>3001</Words>
  <Characters>4871</Characters>
  <Lines>4</Lines>
  <Paragraphs>1</Paragraphs>
  <TotalTime>3</TotalTime>
  <ScaleCrop>false</ScaleCrop>
  <LinksUpToDate>false</LinksUpToDate>
  <CharactersWithSpaces>5241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2024-04-29T07:36:00Z</dcterms:created>
  <dc:creator>ThinkPad</dc:creator>
  <cp:lastModifiedBy>许金镒</cp:lastModifiedBy>
  <cp:lastPrinted>2024-04-18T22:16:00Z</cp:lastPrinted>
  <dcterms:modified xsi:type="dcterms:W3CDTF">2026-05-25T01:43:01Z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KSOTemplateDocerSaveRecord">
    <vt:lpwstr>eyJoZGlkIjoiZmY3Njg4N2QyZWFkZGZkYTUzM2ZiYWJjYmM5YjMzY2YiLCJ1c2VySWQiOiIxNjM2OTI2MjA5In0=</vt:lpwstr>
  </property>
  <property fmtid="{D5CDD505-2E9C-101B-9397-08002B2CF9AE}" pid="5" name="KSOProductBuildVer">
    <vt:lpwstr>2052-12.1.0.23542</vt:lpwstr>
  </property>
  <property fmtid="{D5CDD505-2E9C-101B-9397-08002B2CF9AE}" pid="6" name="ICV">
    <vt:lpwstr>4CFA634E6EFD4F368C8045A416C66031_12</vt:lpwstr>
  </property>
</Properties>
</file>