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0"/>
          <w:szCs w:val="40"/>
        </w:rPr>
        <w:t xml:space="preserve">PHISHING EMAIL INVESTIGATION REPORT</w:t>
      </w:r>
    </w:p>
    <w:p>
      <w:pPr>
        <w:spacing w:after="300"/>
      </w:pPr>
      <w:r>
        <w:rPr>
          <w:i/>
          <w:iCs/>
          <w:color w:val="555555"/>
          <w:sz w:val="24"/>
          <w:szCs w:val="24"/>
        </w:rPr>
        <w:t xml:space="preserve">Business Email Compromise (BEC) / Transfer-Fraud Lure — Domain Impersonation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c>
          <w:tcPr>
            <w:tcW w:type="dxa" w:w="2600"/>
            <w:shd w:fill="F2F2F2" w:val="clear"/>
            <w:tcMar>
              <w:top w:type="dxa" w:w="80"/>
              <w:left w:type="dxa" w:w="100"/>
              <w:bottom w:type="dxa" w:w="80"/>
              <w:right w:type="dxa" w:w="100"/>
            </w:tcMar>
          </w:tcPr>
          <w:p>
            <w:pPr>
              <w:jc w:val="left"/>
            </w:pPr>
            <w:r>
              <w:rPr>
                <w:b/>
                <w:bCs/>
                <w:color w:val="000000"/>
              </w:rPr>
              <w:t xml:space="preserve">Analyst</w:t>
            </w:r>
          </w:p>
        </w:tc>
        <w:tc>
          <w:tcPr>
            <w:tcW w:type="dxa" w:w="7400"/>
            <w:tcMar>
              <w:top w:type="dxa" w:w="80"/>
              <w:left w:type="dxa" w:w="100"/>
              <w:bottom w:type="dxa" w:w="80"/>
              <w:right w:type="dxa" w:w="100"/>
            </w:tcMar>
          </w:tcPr>
          <w:p>
            <w:pPr>
              <w:jc w:val="left"/>
            </w:pPr>
            <w:r>
              <w:rPr>
                <w:b w:val="false"/>
                <w:bCs w:val="false"/>
                <w:color w:val="000000"/>
              </w:rPr>
              <w:t xml:space="preserve">Antony — IT Assets Controller, Team Lead, Call Centre International (CCI)</w:t>
            </w:r>
          </w:p>
        </w:tc>
      </w:tr>
      <w:tr>
        <w:tc>
          <w:tcPr>
            <w:tcW w:type="dxa" w:w="2600"/>
            <w:shd w:fill="F2F2F2" w:val="clear"/>
            <w:tcMar>
              <w:top w:type="dxa" w:w="80"/>
              <w:left w:type="dxa" w:w="100"/>
              <w:bottom w:type="dxa" w:w="80"/>
              <w:right w:type="dxa" w:w="100"/>
            </w:tcMar>
          </w:tcPr>
          <w:p>
            <w:pPr>
              <w:jc w:val="left"/>
            </w:pPr>
            <w:r>
              <w:rPr>
                <w:b/>
                <w:bCs/>
                <w:color w:val="000000"/>
              </w:rPr>
              <w:t xml:space="preserve">Report Type</w:t>
            </w:r>
          </w:p>
        </w:tc>
        <w:tc>
          <w:tcPr>
            <w:tcW w:type="dxa" w:w="7400"/>
            <w:tcMar>
              <w:top w:type="dxa" w:w="80"/>
              <w:left w:type="dxa" w:w="100"/>
              <w:bottom w:type="dxa" w:w="80"/>
              <w:right w:type="dxa" w:w="100"/>
            </w:tcMar>
          </w:tcPr>
          <w:p>
            <w:pPr>
              <w:jc w:val="left"/>
            </w:pPr>
            <w:r>
              <w:rPr>
                <w:b w:val="false"/>
                <w:bCs w:val="false"/>
                <w:color w:val="000000"/>
              </w:rPr>
              <w:t xml:space="preserve">Independent security investigation (portfolio / lab practice)</w:t>
            </w:r>
          </w:p>
        </w:tc>
      </w:tr>
      <w:tr>
        <w:tc>
          <w:tcPr>
            <w:tcW w:type="dxa" w:w="2600"/>
            <w:shd w:fill="F2F2F2" w:val="clear"/>
            <w:tcMar>
              <w:top w:type="dxa" w:w="80"/>
              <w:left w:type="dxa" w:w="100"/>
              <w:bottom w:type="dxa" w:w="80"/>
              <w:right w:type="dxa" w:w="100"/>
            </w:tcMar>
          </w:tcPr>
          <w:p>
            <w:pPr>
              <w:jc w:val="left"/>
            </w:pPr>
            <w:r>
              <w:rPr>
                <w:b/>
                <w:bCs/>
                <w:color w:val="000000"/>
              </w:rPr>
              <w:t xml:space="preserve">Date of Analysis</w:t>
            </w:r>
          </w:p>
        </w:tc>
        <w:tc>
          <w:tcPr>
            <w:tcW w:type="dxa" w:w="7400"/>
            <w:tcMar>
              <w:top w:type="dxa" w:w="80"/>
              <w:left w:type="dxa" w:w="100"/>
              <w:bottom w:type="dxa" w:w="80"/>
              <w:right w:type="dxa" w:w="100"/>
            </w:tcMar>
          </w:tcPr>
          <w:p>
            <w:pPr>
              <w:jc w:val="left"/>
            </w:pPr>
            <w:r>
              <w:rPr>
                <w:b w:val="false"/>
                <w:bCs w:val="false"/>
                <w:color w:val="000000"/>
              </w:rPr>
              <w:t xml:space="preserve">28 July 2026</w:t>
            </w:r>
          </w:p>
        </w:tc>
      </w:tr>
      <w:tr>
        <w:tc>
          <w:tcPr>
            <w:tcW w:type="dxa" w:w="2600"/>
            <w:shd w:fill="F2F2F2" w:val="clear"/>
            <w:tcMar>
              <w:top w:type="dxa" w:w="80"/>
              <w:left w:type="dxa" w:w="100"/>
              <w:bottom w:type="dxa" w:w="80"/>
              <w:right w:type="dxa" w:w="100"/>
            </w:tcMar>
          </w:tcPr>
          <w:p>
            <w:pPr>
              <w:jc w:val="left"/>
            </w:pPr>
            <w:r>
              <w:rPr>
                <w:b/>
                <w:bCs/>
                <w:color w:val="000000"/>
              </w:rPr>
              <w:t xml:space="preserve">Classification</w:t>
            </w:r>
          </w:p>
        </w:tc>
        <w:tc>
          <w:tcPr>
            <w:tcW w:type="dxa" w:w="7400"/>
            <w:tcMar>
              <w:top w:type="dxa" w:w="80"/>
              <w:left w:type="dxa" w:w="100"/>
              <w:bottom w:type="dxa" w:w="80"/>
              <w:right w:type="dxa" w:w="100"/>
            </w:tcMar>
          </w:tcPr>
          <w:p>
            <w:pPr>
              <w:jc w:val="left"/>
            </w:pPr>
            <w:r>
              <w:rPr>
                <w:b w:val="false"/>
                <w:bCs w:val="false"/>
                <w:color w:val="000000"/>
              </w:rPr>
              <w:t xml:space="preserve">Phishing — Domain Impersonation / Transfer-Fraud Pretext</w:t>
            </w:r>
          </w:p>
        </w:tc>
      </w:tr>
      <w:tr>
        <w:tc>
          <w:tcPr>
            <w:tcW w:type="dxa" w:w="2600"/>
            <w:shd w:fill="F2F2F2" w:val="clear"/>
            <w:tcMar>
              <w:top w:type="dxa" w:w="80"/>
              <w:left w:type="dxa" w:w="100"/>
              <w:bottom w:type="dxa" w:w="80"/>
              <w:right w:type="dxa" w:w="100"/>
            </w:tcMar>
          </w:tcPr>
          <w:p>
            <w:pPr>
              <w:jc w:val="left"/>
            </w:pPr>
            <w:r>
              <w:rPr>
                <w:b/>
                <w:bCs/>
                <w:color w:val="000000"/>
              </w:rPr>
              <w:t xml:space="preserve">Severity</w:t>
            </w:r>
          </w:p>
        </w:tc>
        <w:tc>
          <w:tcPr>
            <w:tcW w:type="dxa" w:w="7400"/>
            <w:tcMar>
              <w:top w:type="dxa" w:w="80"/>
              <w:left w:type="dxa" w:w="100"/>
              <w:bottom w:type="dxa" w:w="80"/>
              <w:right w:type="dxa" w:w="100"/>
            </w:tcMar>
          </w:tcPr>
          <w:p>
            <w:pPr>
              <w:jc w:val="left"/>
            </w:pPr>
            <w:r>
              <w:rPr>
                <w:b w:val="false"/>
                <w:bCs w:val="false"/>
                <w:color w:val="000000"/>
              </w:rPr>
              <w:t xml:space="preserve">Medium — spoofing succeeded due to unenforced DMARC; no evidence of compromise, credential loss, or financial impact at time of analysis</w:t>
            </w:r>
          </w:p>
        </w:tc>
      </w:tr>
    </w:tbl>
    <w:p>
      <w:pPr>
        <w:spacing w:after="200"/>
      </w:pPr>
    </w:p>
    <w:p>
      <w:pPr>
        <w:pBdr>
          <w:bottom w:val="single" w:color="1F3864" w:sz="6" w:space="1"/>
        </w:pBdr>
        <w:spacing w:after="200"/>
      </w:pPr>
    </w:p>
    <w:p>
      <w:pPr>
        <w:pStyle w:val="Heading1"/>
        <w:spacing w:after="140" w:before="280"/>
      </w:pPr>
      <w:r>
        <w:t xml:space="preserve">1. Executive Summary</w:t>
      </w:r>
    </w:p>
    <w:p>
      <w:pPr>
        <w:spacing w:after="160"/>
      </w:pPr>
      <w:r>
        <w:t xml:space="preserve">A phishing email with the subject "Update Regarding Your Transfer Request" was received, purporting to originate from imperialtrustgroup.com. Header analysis, DNS authentication review, and WHOIS/RDAP research confirmed the message is a spoofed impersonation attempt sent through shared Hostinger hosting infrastructure. The impersonated domain, imperialtrustgroup.com, was registered only 44 days before the email was sent, uses DNS-parking nameservers, and hosts no live website — strong indicators of purpose-built phishing infrastructure rather than a legitimate business. The email passed basic delivery checks only because the impersonated domain's DMARC policy is not enforced (p=NONE), allowing an unauthenticated message to reach the inbox despite failing DMARC alignment.</w:t>
      </w:r>
    </w:p>
    <w:p>
      <w:pPr>
        <w:pStyle w:val="Heading1"/>
        <w:spacing w:after="140" w:before="280"/>
      </w:pPr>
      <w:r>
        <w:t xml:space="preserve">2. Source Material</w:t>
      </w:r>
    </w:p>
    <w:p>
      <w:pPr>
        <w:pStyle w:val="ListParagraph"/>
        <w:numPr>
          <w:ilvl w:val="0"/>
          <w:numId w:val="1"/>
        </w:numPr>
        <w:spacing w:after="80"/>
      </w:pPr>
      <w:r>
        <w:t xml:space="preserve">Full email headers (Gmail "Show original" export)</w:t>
      </w:r>
    </w:p>
    <w:p>
      <w:pPr>
        <w:pStyle w:val="ListParagraph"/>
        <w:numPr>
          <w:ilvl w:val="0"/>
          <w:numId w:val="1"/>
        </w:numPr>
        <w:spacing w:after="80"/>
      </w:pPr>
      <w:r>
        <w:t xml:space="preserve">DMARC / SPF / DKIM authentication test results (third-party DMARC checker)</w:t>
      </w:r>
    </w:p>
    <w:p>
      <w:pPr>
        <w:pStyle w:val="ListParagraph"/>
        <w:numPr>
          <w:ilvl w:val="0"/>
          <w:numId w:val="1"/>
        </w:numPr>
        <w:spacing w:after="80"/>
      </w:pPr>
      <w:r>
        <w:t xml:space="preserve">IP WHOIS / RDAP record for 23.83.213.23 (ARIN)</w:t>
      </w:r>
    </w:p>
    <w:p>
      <w:pPr>
        <w:pStyle w:val="ListParagraph"/>
        <w:numPr>
          <w:ilvl w:val="0"/>
          <w:numId w:val="1"/>
        </w:numPr>
        <w:spacing w:after="80"/>
      </w:pPr>
      <w:r>
        <w:t xml:space="preserve">Domain WHOIS records for main-hosting.eu and imperialtrustgroup.com</w:t>
      </w:r>
    </w:p>
    <w:p>
      <w:pPr>
        <w:pStyle w:val="Heading1"/>
        <w:spacing w:after="140" w:before="280"/>
      </w:pPr>
      <w:r>
        <w:t xml:space="preserve">3. Header Analysis</w:t>
      </w:r>
    </w:p>
    <w:p>
      <w:pPr>
        <w:spacing w:after="160"/>
      </w:pPr>
      <w:r>
        <w:t xml:space="preserve">Key header fields extracted from the message: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F2F2F2" w:val="clear"/>
            <w:tcMar>
              <w:top w:type="dxa" w:w="80"/>
              <w:left w:type="dxa" w:w="100"/>
              <w:bottom w:type="dxa" w:w="80"/>
              <w:right w:type="dxa" w:w="100"/>
            </w:tcMar>
          </w:tcPr>
          <w:p>
            <w:pPr>
              <w:jc w:val="left"/>
            </w:pPr>
            <w:r>
              <w:rPr>
                <w:b/>
                <w:bCs/>
                <w:color w:val="000000"/>
              </w:rPr>
              <w:t xml:space="preserve">From (displayed)</w:t>
            </w:r>
          </w:p>
        </w:tc>
        <w:tc>
          <w:tcPr>
            <w:tcW w:type="dxa" w:w="7000"/>
            <w:tcMar>
              <w:top w:type="dxa" w:w="80"/>
              <w:left w:type="dxa" w:w="100"/>
              <w:bottom w:type="dxa" w:w="80"/>
              <w:right w:type="dxa" w:w="100"/>
            </w:tcMar>
          </w:tcPr>
          <w:p>
            <w:pPr>
              <w:jc w:val="left"/>
            </w:pPr>
            <w:r>
              <w:rPr>
                <w:b w:val="false"/>
                <w:bCs w:val="false"/>
                <w:color w:val="000000"/>
              </w:rPr>
              <w:t xml:space="preserve">imperialtrustgroup &lt;wordpress@imperialtrustgroup.com&gt;</w:t>
            </w:r>
          </w:p>
        </w:tc>
      </w:tr>
      <w:tr>
        <w:tc>
          <w:tcPr>
            <w:tcW w:type="dxa" w:w="3000"/>
            <w:shd w:fill="F2F2F2" w:val="clear"/>
            <w:tcMar>
              <w:top w:type="dxa" w:w="80"/>
              <w:left w:type="dxa" w:w="100"/>
              <w:bottom w:type="dxa" w:w="80"/>
              <w:right w:type="dxa" w:w="100"/>
            </w:tcMar>
          </w:tcPr>
          <w:p>
            <w:pPr>
              <w:jc w:val="left"/>
            </w:pPr>
            <w:r>
              <w:rPr>
                <w:b/>
                <w:bCs/>
                <w:color w:val="000000"/>
              </w:rPr>
              <w:t xml:space="preserve">Return-Path (actual)</w:t>
            </w:r>
          </w:p>
        </w:tc>
        <w:tc>
          <w:tcPr>
            <w:tcW w:type="dxa" w:w="7000"/>
            <w:tcMar>
              <w:top w:type="dxa" w:w="80"/>
              <w:left w:type="dxa" w:w="100"/>
              <w:bottom w:type="dxa" w:w="80"/>
              <w:right w:type="dxa" w:w="100"/>
            </w:tcMar>
          </w:tcPr>
          <w:p>
            <w:pPr>
              <w:jc w:val="left"/>
            </w:pPr>
            <w:r>
              <w:rPr>
                <w:b w:val="false"/>
                <w:bCs w:val="false"/>
                <w:color w:val="000000"/>
              </w:rPr>
              <w:t xml:space="preserve">&lt;noreply@srv2026.main-hosting.eu&gt;</w:t>
            </w:r>
          </w:p>
        </w:tc>
      </w:tr>
      <w:tr>
        <w:tc>
          <w:tcPr>
            <w:tcW w:type="dxa" w:w="3000"/>
            <w:shd w:fill="F2F2F2" w:val="clear"/>
            <w:tcMar>
              <w:top w:type="dxa" w:w="80"/>
              <w:left w:type="dxa" w:w="100"/>
              <w:bottom w:type="dxa" w:w="80"/>
              <w:right w:type="dxa" w:w="100"/>
            </w:tcMar>
          </w:tcPr>
          <w:p>
            <w:pPr>
              <w:jc w:val="left"/>
            </w:pPr>
            <w:r>
              <w:rPr>
                <w:b/>
                <w:bCs/>
                <w:color w:val="000000"/>
              </w:rPr>
              <w:t xml:space="preserve">Received-SPF</w:t>
            </w:r>
          </w:p>
        </w:tc>
        <w:tc>
          <w:tcPr>
            <w:tcW w:type="dxa" w:w="7000"/>
            <w:tcMar>
              <w:top w:type="dxa" w:w="80"/>
              <w:left w:type="dxa" w:w="100"/>
              <w:bottom w:type="dxa" w:w="80"/>
              <w:right w:type="dxa" w:w="100"/>
            </w:tcMar>
          </w:tcPr>
          <w:p>
            <w:pPr>
              <w:jc w:val="left"/>
            </w:pPr>
            <w:r>
              <w:rPr>
                <w:b w:val="false"/>
                <w:bCs w:val="false"/>
                <w:color w:val="000000"/>
              </w:rPr>
              <w:t xml:space="preserve">pass — client-ip=23.83.213.23 (validates main-hosting.eu, not the From domain)</w:t>
            </w:r>
          </w:p>
        </w:tc>
      </w:tr>
      <w:tr>
        <w:tc>
          <w:tcPr>
            <w:tcW w:type="dxa" w:w="3000"/>
            <w:shd w:fill="F2F2F2" w:val="clear"/>
            <w:tcMar>
              <w:top w:type="dxa" w:w="80"/>
              <w:left w:type="dxa" w:w="100"/>
              <w:bottom w:type="dxa" w:w="80"/>
              <w:right w:type="dxa" w:w="100"/>
            </w:tcMar>
          </w:tcPr>
          <w:p>
            <w:pPr>
              <w:jc w:val="left"/>
            </w:pPr>
            <w:r>
              <w:rPr>
                <w:b/>
                <w:bCs/>
                <w:color w:val="000000"/>
              </w:rPr>
              <w:t xml:space="preserve">Subject</w:t>
            </w:r>
          </w:p>
        </w:tc>
        <w:tc>
          <w:tcPr>
            <w:tcW w:type="dxa" w:w="7000"/>
            <w:tcMar>
              <w:top w:type="dxa" w:w="80"/>
              <w:left w:type="dxa" w:w="100"/>
              <w:bottom w:type="dxa" w:w="80"/>
              <w:right w:type="dxa" w:w="100"/>
            </w:tcMar>
          </w:tcPr>
          <w:p>
            <w:pPr>
              <w:jc w:val="left"/>
            </w:pPr>
            <w:r>
              <w:rPr>
                <w:b w:val="false"/>
                <w:bCs w:val="false"/>
                <w:color w:val="000000"/>
              </w:rPr>
              <w:t xml:space="preserve">Update Regarding Your Transfer Request</w:t>
            </w:r>
          </w:p>
        </w:tc>
      </w:tr>
      <w:tr>
        <w:tc>
          <w:tcPr>
            <w:tcW w:type="dxa" w:w="3000"/>
            <w:shd w:fill="F2F2F2" w:val="clear"/>
            <w:tcMar>
              <w:top w:type="dxa" w:w="80"/>
              <w:left w:type="dxa" w:w="100"/>
              <w:bottom w:type="dxa" w:w="80"/>
              <w:right w:type="dxa" w:w="100"/>
            </w:tcMar>
          </w:tcPr>
          <w:p>
            <w:pPr>
              <w:jc w:val="left"/>
            </w:pPr>
            <w:r>
              <w:rPr>
                <w:b/>
                <w:bCs/>
                <w:color w:val="000000"/>
              </w:rPr>
              <w:t xml:space="preserve">Date</w:t>
            </w:r>
          </w:p>
        </w:tc>
        <w:tc>
          <w:tcPr>
            <w:tcW w:type="dxa" w:w="7000"/>
            <w:tcMar>
              <w:top w:type="dxa" w:w="80"/>
              <w:left w:type="dxa" w:w="100"/>
              <w:bottom w:type="dxa" w:w="80"/>
              <w:right w:type="dxa" w:w="100"/>
            </w:tcMar>
          </w:tcPr>
          <w:p>
            <w:pPr>
              <w:jc w:val="left"/>
            </w:pPr>
            <w:r>
              <w:rPr>
                <w:b w:val="false"/>
                <w:bCs w:val="false"/>
                <w:color w:val="000000"/>
              </w:rPr>
              <w:t xml:space="preserve">Mon, 27 Jul 2026 18:57:35 +0000</w:t>
            </w:r>
          </w:p>
        </w:tc>
      </w:tr>
      <w:tr>
        <w:tc>
          <w:tcPr>
            <w:tcW w:type="dxa" w:w="3000"/>
            <w:shd w:fill="F2F2F2" w:val="clear"/>
            <w:tcMar>
              <w:top w:type="dxa" w:w="80"/>
              <w:left w:type="dxa" w:w="100"/>
              <w:bottom w:type="dxa" w:w="80"/>
              <w:right w:type="dxa" w:w="100"/>
            </w:tcMar>
          </w:tcPr>
          <w:p>
            <w:pPr>
              <w:jc w:val="left"/>
            </w:pPr>
            <w:r>
              <w:rPr>
                <w:b/>
                <w:bCs/>
                <w:color w:val="000000"/>
              </w:rPr>
              <w:t xml:space="preserve">X-Mailer</w:t>
            </w:r>
          </w:p>
        </w:tc>
        <w:tc>
          <w:tcPr>
            <w:tcW w:type="dxa" w:w="7000"/>
            <w:tcMar>
              <w:top w:type="dxa" w:w="80"/>
              <w:left w:type="dxa" w:w="100"/>
              <w:bottom w:type="dxa" w:w="80"/>
              <w:right w:type="dxa" w:w="100"/>
            </w:tcMar>
          </w:tcPr>
          <w:p>
            <w:pPr>
              <w:jc w:val="left"/>
            </w:pPr>
            <w:r>
              <w:rPr>
                <w:b w:val="false"/>
                <w:bCs w:val="false"/>
                <w:color w:val="000000"/>
              </w:rPr>
              <w:t xml:space="preserve">PHPMailer 7.0.2</w:t>
            </w:r>
          </w:p>
        </w:tc>
      </w:tr>
      <w:tr>
        <w:tc>
          <w:tcPr>
            <w:tcW w:type="dxa" w:w="3000"/>
            <w:shd w:fill="F2F2F2" w:val="clear"/>
            <w:tcMar>
              <w:top w:type="dxa" w:w="80"/>
              <w:left w:type="dxa" w:w="100"/>
              <w:bottom w:type="dxa" w:w="80"/>
              <w:right w:type="dxa" w:w="100"/>
            </w:tcMar>
          </w:tcPr>
          <w:p>
            <w:pPr>
              <w:jc w:val="left"/>
            </w:pPr>
            <w:r>
              <w:rPr>
                <w:b/>
                <w:bCs/>
                <w:color w:val="000000"/>
              </w:rPr>
              <w:t xml:space="preserve">Content-Type</w:t>
            </w:r>
          </w:p>
        </w:tc>
        <w:tc>
          <w:tcPr>
            <w:tcW w:type="dxa" w:w="7000"/>
            <w:tcMar>
              <w:top w:type="dxa" w:w="80"/>
              <w:left w:type="dxa" w:w="100"/>
              <w:bottom w:type="dxa" w:w="80"/>
              <w:right w:type="dxa" w:w="100"/>
            </w:tcMar>
          </w:tcPr>
          <w:p>
            <w:pPr>
              <w:jc w:val="left"/>
            </w:pPr>
            <w:r>
              <w:rPr>
                <w:b w:val="false"/>
                <w:bCs w:val="false"/>
                <w:color w:val="000000"/>
              </w:rPr>
              <w:t xml:space="preserve">text/html; charset=UTF-8</w:t>
            </w:r>
          </w:p>
        </w:tc>
      </w:tr>
    </w:tbl>
    <w:p>
      <w:pPr>
        <w:spacing w:after="200"/>
      </w:pPr>
    </w:p>
    <w:p>
      <w:pPr>
        <w:spacing w:after="160"/>
      </w:pPr>
      <w:r>
        <w:t xml:space="preserve">The From address displayed to the recipient does not match the Return-Path or the domain that actually authenticated the message (main-hosting.eu). This From/Return-Path mismatch, combined with a generic wordpress@ local-part, indicates the message was generated by a mail-sending script or plugin on shared hosting rather than dedicated business mail infrastructure.</w:t>
      </w:r>
    </w:p>
    <w:p>
      <w:pPr>
        <w:pStyle w:val="Heading1"/>
        <w:spacing w:after="140" w:before="280"/>
      </w:pPr>
      <w:r>
        <w:t xml:space="preserve">4. Email Authentication Results (SPF / DKIM / DMARC)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5600"/>
        <w:gridCol w:w="1800"/>
      </w:tblGrid>
      <w:tr>
        <w:trPr>
          <w:tblHeader/>
        </w:trPr>
        <w:tc>
          <w:tcPr>
            <w:tcW w:type="dxa" w:w="2600"/>
            <w:shd w:fill="1F3864" w:val="clear"/>
            <w:tcMar>
              <w:top w:type="dxa" w:w="80"/>
              <w:left w:type="dxa" w:w="100"/>
              <w:bottom w:type="dxa" w:w="80"/>
              <w:right w:type="dxa" w:w="100"/>
            </w:tcMar>
          </w:tcPr>
          <w:p>
            <w:pPr>
              <w:jc w:val="left"/>
            </w:pPr>
            <w:r>
              <w:rPr>
                <w:b/>
                <w:bCs/>
                <w:color w:val="FFFFFF"/>
              </w:rPr>
              <w:t xml:space="preserve">Test</w:t>
            </w:r>
          </w:p>
        </w:tc>
        <w:tc>
          <w:tcPr>
            <w:tcW w:type="dxa" w:w="5600"/>
            <w:shd w:fill="1F3864" w:val="clear"/>
            <w:tcMar>
              <w:top w:type="dxa" w:w="80"/>
              <w:left w:type="dxa" w:w="100"/>
              <w:bottom w:type="dxa" w:w="80"/>
              <w:right w:type="dxa" w:w="100"/>
            </w:tcMar>
          </w:tcPr>
          <w:p>
            <w:pPr>
              <w:jc w:val="left"/>
            </w:pPr>
            <w:r>
              <w:rPr>
                <w:b/>
                <w:bCs/>
                <w:color w:val="FFFFFF"/>
              </w:rPr>
              <w:t xml:space="preserve">Result</w:t>
            </w:r>
          </w:p>
        </w:tc>
        <w:tc>
          <w:tcPr>
            <w:tcW w:type="dxa" w:w="1800"/>
            <w:shd w:fill="1F3864" w:val="clear"/>
            <w:tcMar>
              <w:top w:type="dxa" w:w="80"/>
              <w:left w:type="dxa" w:w="100"/>
              <w:bottom w:type="dxa" w:w="80"/>
              <w:right w:type="dxa" w:w="100"/>
            </w:tcMar>
          </w:tcPr>
          <w:p>
            <w:pPr>
              <w:jc w:val="center"/>
            </w:pPr>
            <w:r>
              <w:rPr>
                <w:b/>
                <w:bCs/>
                <w:color w:val="FFFFFF"/>
              </w:rPr>
              <w:t xml:space="preserve">Status</w:t>
            </w:r>
          </w:p>
        </w:tc>
      </w:tr>
      <w:tr>
        <w:tc>
          <w:tcPr>
            <w:tcW w:type="dxa" w:w="2600"/>
            <w:tcMar>
              <w:top w:type="dxa" w:w="80"/>
              <w:left w:type="dxa" w:w="100"/>
              <w:bottom w:type="dxa" w:w="80"/>
              <w:right w:type="dxa" w:w="100"/>
            </w:tcMar>
          </w:tcPr>
          <w:p>
            <w:pPr>
              <w:jc w:val="left"/>
            </w:pPr>
            <w:r>
              <w:rPr>
                <w:b w:val="false"/>
                <w:bCs w:val="false"/>
                <w:color w:val="000000"/>
              </w:rPr>
              <w:t xml:space="preserve">SPF</w:t>
            </w:r>
          </w:p>
        </w:tc>
        <w:tc>
          <w:tcPr>
            <w:tcW w:type="dxa" w:w="5600"/>
            <w:tcMar>
              <w:top w:type="dxa" w:w="80"/>
              <w:left w:type="dxa" w:w="100"/>
              <w:bottom w:type="dxa" w:w="80"/>
              <w:right w:type="dxa" w:w="100"/>
            </w:tcMar>
          </w:tcPr>
          <w:p>
            <w:pPr>
              <w:jc w:val="left"/>
            </w:pPr>
            <w:r>
              <w:rPr>
                <w:b w:val="false"/>
                <w:bCs w:val="false"/>
                <w:color w:val="000000"/>
              </w:rPr>
              <w:t xml:space="preserve">Pass (for main-hosting.eu — not the displayed From domain)</w:t>
            </w:r>
          </w:p>
        </w:tc>
        <w:tc>
          <w:tcPr>
            <w:tcW w:type="dxa" w:w="1800"/>
            <w:tcMar>
              <w:top w:type="dxa" w:w="80"/>
              <w:left w:type="dxa" w:w="100"/>
              <w:bottom w:type="dxa" w:w="80"/>
              <w:right w:type="dxa" w:w="100"/>
            </w:tcMar>
          </w:tcPr>
          <w:p>
            <w:pPr>
              <w:jc w:val="center"/>
            </w:pPr>
            <w:r>
              <w:rPr>
                <w:b/>
                <w:bCs/>
                <w:color w:val="BF8F00"/>
              </w:rPr>
              <w:t xml:space="preserve">CAUTION</w:t>
            </w:r>
          </w:p>
        </w:tc>
      </w:tr>
      <w:tr>
        <w:tc>
          <w:tcPr>
            <w:tcW w:type="dxa" w:w="2600"/>
            <w:tcMar>
              <w:top w:type="dxa" w:w="80"/>
              <w:left w:type="dxa" w:w="100"/>
              <w:bottom w:type="dxa" w:w="80"/>
              <w:right w:type="dxa" w:w="100"/>
            </w:tcMar>
          </w:tcPr>
          <w:p>
            <w:pPr>
              <w:jc w:val="left"/>
            </w:pPr>
            <w:r>
              <w:rPr>
                <w:b w:val="false"/>
                <w:bCs w:val="false"/>
                <w:color w:val="000000"/>
              </w:rPr>
              <w:t xml:space="preserve">DKIM</w:t>
            </w:r>
          </w:p>
        </w:tc>
        <w:tc>
          <w:tcPr>
            <w:tcW w:type="dxa" w:w="5600"/>
            <w:tcMar>
              <w:top w:type="dxa" w:w="80"/>
              <w:left w:type="dxa" w:w="100"/>
              <w:bottom w:type="dxa" w:w="80"/>
              <w:right w:type="dxa" w:w="100"/>
            </w:tcMar>
          </w:tcPr>
          <w:p>
            <w:pPr>
              <w:jc w:val="left"/>
            </w:pPr>
            <w:r>
              <w:rPr>
                <w:b w:val="false"/>
                <w:bCs w:val="false"/>
                <w:color w:val="000000"/>
              </w:rPr>
              <w:t xml:space="preserve">No DKIM-Signature header present</w:t>
            </w:r>
          </w:p>
        </w:tc>
        <w:tc>
          <w:tcPr>
            <w:tcW w:type="dxa" w:w="1800"/>
            <w:tcMar>
              <w:top w:type="dxa" w:w="80"/>
              <w:left w:type="dxa" w:w="100"/>
              <w:bottom w:type="dxa" w:w="80"/>
              <w:right w:type="dxa" w:w="100"/>
            </w:tcMar>
          </w:tcPr>
          <w:p>
            <w:pPr>
              <w:jc w:val="center"/>
            </w:pPr>
            <w:r>
              <w:rPr>
                <w:b/>
                <w:bCs/>
                <w:color w:val="C00000"/>
              </w:rPr>
              <w:t xml:space="preserve">FAIL</w:t>
            </w:r>
          </w:p>
        </w:tc>
      </w:tr>
      <w:tr>
        <w:tc>
          <w:tcPr>
            <w:tcW w:type="dxa" w:w="2600"/>
            <w:tcMar>
              <w:top w:type="dxa" w:w="80"/>
              <w:left w:type="dxa" w:w="100"/>
              <w:bottom w:type="dxa" w:w="80"/>
              <w:right w:type="dxa" w:w="100"/>
            </w:tcMar>
          </w:tcPr>
          <w:p>
            <w:pPr>
              <w:jc w:val="left"/>
            </w:pPr>
            <w:r>
              <w:rPr>
                <w:b w:val="false"/>
                <w:bCs w:val="false"/>
                <w:color w:val="000000"/>
              </w:rPr>
              <w:t xml:space="preserve">DMARC</w:t>
            </w:r>
          </w:p>
        </w:tc>
        <w:tc>
          <w:tcPr>
            <w:tcW w:type="dxa" w:w="5600"/>
            <w:tcMar>
              <w:top w:type="dxa" w:w="80"/>
              <w:left w:type="dxa" w:w="100"/>
              <w:bottom w:type="dxa" w:w="80"/>
              <w:right w:type="dxa" w:w="100"/>
            </w:tcMar>
          </w:tcPr>
          <w:p>
            <w:pPr>
              <w:jc w:val="left"/>
            </w:pPr>
            <w:r>
              <w:rPr>
                <w:b w:val="false"/>
                <w:bCs w:val="false"/>
                <w:color w:val="000000"/>
              </w:rPr>
              <w:t xml:space="preserve">Fail (alignment failure; policy = p=NONE, sp=NONE — not enforced)</w:t>
            </w:r>
          </w:p>
        </w:tc>
        <w:tc>
          <w:tcPr>
            <w:tcW w:type="dxa" w:w="1800"/>
            <w:tcMar>
              <w:top w:type="dxa" w:w="80"/>
              <w:left w:type="dxa" w:w="100"/>
              <w:bottom w:type="dxa" w:w="80"/>
              <w:right w:type="dxa" w:w="100"/>
            </w:tcMar>
          </w:tcPr>
          <w:p>
            <w:pPr>
              <w:jc w:val="center"/>
            </w:pPr>
            <w:r>
              <w:rPr>
                <w:b/>
                <w:bCs/>
                <w:color w:val="C00000"/>
              </w:rPr>
              <w:t xml:space="preserve">FAIL</w:t>
            </w:r>
          </w:p>
        </w:tc>
      </w:tr>
      <w:tr>
        <w:tc>
          <w:tcPr>
            <w:tcW w:type="dxa" w:w="2600"/>
            <w:tcMar>
              <w:top w:type="dxa" w:w="80"/>
              <w:left w:type="dxa" w:w="100"/>
              <w:bottom w:type="dxa" w:w="80"/>
              <w:right w:type="dxa" w:w="100"/>
            </w:tcMar>
          </w:tcPr>
          <w:p>
            <w:pPr>
              <w:jc w:val="left"/>
            </w:pPr>
            <w:r>
              <w:rPr>
                <w:b w:val="false"/>
                <w:bCs w:val="false"/>
                <w:color w:val="000000"/>
              </w:rPr>
              <w:t xml:space="preserve">From / Return-Path alignment</w:t>
            </w:r>
          </w:p>
        </w:tc>
        <w:tc>
          <w:tcPr>
            <w:tcW w:type="dxa" w:w="5600"/>
            <w:tcMar>
              <w:top w:type="dxa" w:w="80"/>
              <w:left w:type="dxa" w:w="100"/>
              <w:bottom w:type="dxa" w:w="80"/>
              <w:right w:type="dxa" w:w="100"/>
            </w:tcMar>
          </w:tcPr>
          <w:p>
            <w:pPr>
              <w:jc w:val="left"/>
            </w:pPr>
            <w:r>
              <w:rPr>
                <w:b w:val="false"/>
                <w:bCs w:val="false"/>
                <w:color w:val="000000"/>
              </w:rPr>
              <w:t xml:space="preserve">Mismatched — From: imperialtrustgroup.com vs Return-Path: main-hosting.eu</w:t>
            </w:r>
          </w:p>
        </w:tc>
        <w:tc>
          <w:tcPr>
            <w:tcW w:type="dxa" w:w="1800"/>
            <w:tcMar>
              <w:top w:type="dxa" w:w="80"/>
              <w:left w:type="dxa" w:w="100"/>
              <w:bottom w:type="dxa" w:w="80"/>
              <w:right w:type="dxa" w:w="100"/>
            </w:tcMar>
          </w:tcPr>
          <w:p>
            <w:pPr>
              <w:jc w:val="center"/>
            </w:pPr>
            <w:r>
              <w:rPr>
                <w:b/>
                <w:bCs/>
                <w:color w:val="C00000"/>
              </w:rPr>
              <w:t xml:space="preserve">FAIL</w:t>
            </w:r>
          </w:p>
        </w:tc>
      </w:tr>
    </w:tbl>
    <w:p>
      <w:pPr>
        <w:spacing w:after="200"/>
      </w:pPr>
    </w:p>
    <w:p>
      <w:pPr>
        <w:spacing w:after="160"/>
      </w:pPr>
      <w:r>
        <w:t xml:space="preserve">SPF passed, but only for main-hosting.eu, the infrastructure that actually sent the mail — it provides no authentication for the imperialtrustgroup.com identity shown to the recipient. No DKIM signature was present at all. DMARC alignment therefore failed. However, imperialtrustgroup.com publishes a DMARC record with policy p=NONE and sp=NONE, meaning the domain owner (in this case, the attacker) is not requesting that failing messages be quarantined or rejected — this is what allowed the spoofed message to reach the inbox instead of being blocked.</w:t>
      </w:r>
    </w:p>
    <w:p>
      <w:pPr>
        <w:pStyle w:val="Heading1"/>
        <w:spacing w:after="140" w:before="280"/>
      </w:pPr>
      <w:r>
        <w:t xml:space="preserve">5. Infrastructure &amp; WHOIS Findings</w:t>
      </w:r>
    </w:p>
    <w:p>
      <w:pPr>
        <w:pStyle w:val="Heading2"/>
        <w:spacing w:after="140" w:before="280"/>
      </w:pPr>
      <w:r>
        <w:t xml:space="preserve">5.1 Relay IP — 23.83.213.23</w:t>
      </w:r>
    </w:p>
    <w:p>
      <w:pPr>
        <w:pStyle w:val="ListParagraph"/>
        <w:numPr>
          <w:ilvl w:val="0"/>
          <w:numId w:val="1"/>
        </w:numPr>
        <w:spacing w:after="80"/>
      </w:pPr>
      <w:r>
        <w:t xml:space="preserve">Organization: MailChannels Corporation (MC-733), Vancouver, BC, Canada</w:t>
      </w:r>
    </w:p>
    <w:p>
      <w:pPr>
        <w:pStyle w:val="ListParagraph"/>
        <w:numPr>
          <w:ilvl w:val="0"/>
          <w:numId w:val="1"/>
        </w:numPr>
        <w:spacing w:after="80"/>
      </w:pPr>
      <w:r>
        <w:t xml:space="preserve">Resolve Host: brown.larch.relay.mailchannels.net</w:t>
      </w:r>
    </w:p>
    <w:p>
      <w:pPr>
        <w:pStyle w:val="ListParagraph"/>
        <w:numPr>
          <w:ilvl w:val="0"/>
          <w:numId w:val="1"/>
        </w:numPr>
        <w:spacing w:after="80"/>
      </w:pPr>
      <w:r>
        <w:t xml:space="preserve">Assessment: MailChannels is a legitimate outbound spam-filtering relay bundled by default with many cPanel/WHM and shared-hosting platforms, including Hostinger. This IP is shared relay infrastructure, not infrastructure owned by the attacker — it is the last hop before Gmail, not the origin.</w:t>
      </w:r>
    </w:p>
    <w:p>
      <w:pPr>
        <w:pStyle w:val="Heading2"/>
        <w:spacing w:after="140" w:before="280"/>
      </w:pPr>
      <w:r>
        <w:t xml:space="preserve">5.2 Sending domain — main-hosting.eu</w:t>
      </w:r>
    </w:p>
    <w:p>
      <w:pPr>
        <w:pStyle w:val="ListParagraph"/>
        <w:numPr>
          <w:ilvl w:val="0"/>
          <w:numId w:val="1"/>
        </w:numPr>
        <w:spacing w:after="80"/>
      </w:pPr>
      <w:r>
        <w:t xml:space="preserve">Registrar: Hostinger operations, UAB</w:t>
      </w:r>
    </w:p>
    <w:p>
      <w:pPr>
        <w:pStyle w:val="ListParagraph"/>
        <w:numPr>
          <w:ilvl w:val="0"/>
          <w:numId w:val="1"/>
        </w:numPr>
        <w:spacing w:after="80"/>
      </w:pPr>
      <w:r>
        <w:t xml:space="preserve">Name servers: any1.hostinger.com / any2.hostinger.com</w:t>
      </w:r>
    </w:p>
    <w:p>
      <w:pPr>
        <w:pStyle w:val="ListParagraph"/>
        <w:numPr>
          <w:ilvl w:val="0"/>
          <w:numId w:val="1"/>
        </w:numPr>
        <w:spacing w:after="80"/>
      </w:pPr>
      <w:r>
        <w:t xml:space="preserve">Assessment: A generic Hostinger shared-hosting mail domain used to route outbound mail for customer accounts on that server — not infrastructure unique to this attacker.</w:t>
      </w:r>
    </w:p>
    <w:p>
      <w:pPr>
        <w:pStyle w:val="Heading2"/>
        <w:spacing w:after="140" w:before="280"/>
      </w:pPr>
      <w:r>
        <w:t xml:space="preserve">5.3 Impersonated domain — imperialtrustgroup.com</w:t>
      </w:r>
    </w:p>
    <w:p>
      <w:pPr>
        <w:pStyle w:val="ListParagraph"/>
        <w:numPr>
          <w:ilvl w:val="0"/>
          <w:numId w:val="1"/>
        </w:numPr>
        <w:spacing w:after="80"/>
      </w:pPr>
      <w:r>
        <w:rPr>
          <w:b/>
          <w:bCs/>
        </w:rPr>
        <w:t xml:space="preserve">Registrar: </w:t>
      </w:r>
      <w:r>
        <w:t xml:space="preserve">Hostinger operations, UAB</w:t>
      </w:r>
    </w:p>
    <w:p>
      <w:pPr>
        <w:pStyle w:val="ListParagraph"/>
        <w:numPr>
          <w:ilvl w:val="0"/>
          <w:numId w:val="1"/>
        </w:numPr>
        <w:spacing w:after="80"/>
      </w:pPr>
      <w:r>
        <w:rPr>
          <w:b/>
          <w:bCs/>
        </w:rPr>
        <w:t xml:space="preserve">Created: </w:t>
      </w:r>
      <w:r>
        <w:t xml:space="preserve">2026-06-14 — 44 days old at time of the email</w:t>
      </w:r>
    </w:p>
    <w:p>
      <w:pPr>
        <w:pStyle w:val="ListParagraph"/>
        <w:numPr>
          <w:ilvl w:val="0"/>
          <w:numId w:val="1"/>
        </w:numPr>
        <w:spacing w:after="80"/>
      </w:pPr>
      <w:r>
        <w:rPr>
          <w:b/>
          <w:bCs/>
        </w:rPr>
        <w:t xml:space="preserve">Name servers: </w:t>
      </w:r>
      <w:r>
        <w:t xml:space="preserve">AURORA.DNS-PARKING.COM / NEBULA.DNS-PARKING.COM</w:t>
      </w:r>
    </w:p>
    <w:p>
      <w:pPr>
        <w:pStyle w:val="ListParagraph"/>
        <w:numPr>
          <w:ilvl w:val="0"/>
          <w:numId w:val="1"/>
        </w:numPr>
        <w:spacing w:after="80"/>
      </w:pPr>
      <w:r>
        <w:rPr>
          <w:b/>
          <w:bCs/>
        </w:rPr>
        <w:t xml:space="preserve">Domain status: </w:t>
      </w:r>
      <w:r>
        <w:t xml:space="preserve">Registered And No Website</w:t>
      </w:r>
    </w:p>
    <w:p>
      <w:pPr>
        <w:pStyle w:val="ListParagraph"/>
        <w:numPr>
          <w:ilvl w:val="0"/>
          <w:numId w:val="1"/>
        </w:numPr>
        <w:spacing w:after="80"/>
      </w:pPr>
      <w:r>
        <w:rPr>
          <w:b/>
          <w:bCs/>
        </w:rPr>
        <w:t xml:space="preserve">Registrant: </w:t>
      </w:r>
      <w:r>
        <w:t xml:space="preserve">Redacted (WHOIS privacy via Hostinger)</w:t>
      </w:r>
    </w:p>
    <w:p>
      <w:pPr>
        <w:spacing w:after="160"/>
      </w:pPr>
      <w:r>
        <w:t xml:space="preserve">A domain claiming to represent a financial "trust group" that is six weeks old, privacy-shielded, DNS-parked, and has no live website is inconsistent with a genuine, operating financial services business. This pattern — cheap registrar, WHOIS privacy, parked nameservers, no website — is characteristic of infrastructure stood up specifically to lend legitimacy to a phishing or transfer-fraud campaign.</w:t>
      </w:r>
    </w:p>
    <w:p>
      <w:pPr>
        <w:pStyle w:val="Heading1"/>
        <w:spacing w:after="140" w:before="280"/>
      </w:pPr>
      <w:r>
        <w:t xml:space="preserve">6. Indicators of Compromise (IOCs)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4600"/>
        <w:gridCol w:w="2000"/>
      </w:tblGrid>
      <w:tr>
        <w:trPr>
          <w:tblHeader/>
        </w:trPr>
        <w:tc>
          <w:tcPr>
            <w:tcW w:type="dxa" w:w="3400"/>
            <w:shd w:fill="1F3864" w:val="clear"/>
            <w:tcMar>
              <w:top w:type="dxa" w:w="80"/>
              <w:left w:type="dxa" w:w="100"/>
              <w:bottom w:type="dxa" w:w="80"/>
              <w:right w:type="dxa" w:w="100"/>
            </w:tcMar>
          </w:tcPr>
          <w:p>
            <w:pPr>
              <w:jc w:val="left"/>
            </w:pPr>
            <w:r>
              <w:rPr>
                <w:b/>
                <w:bCs/>
                <w:color w:val="FFFFFF"/>
              </w:rPr>
              <w:t xml:space="preserve">Indicator</w:t>
            </w:r>
          </w:p>
        </w:tc>
        <w:tc>
          <w:tcPr>
            <w:tcW w:type="dxa" w:w="4600"/>
            <w:shd w:fill="1F3864" w:val="clear"/>
            <w:tcMar>
              <w:top w:type="dxa" w:w="80"/>
              <w:left w:type="dxa" w:w="100"/>
              <w:bottom w:type="dxa" w:w="80"/>
              <w:right w:type="dxa" w:w="100"/>
            </w:tcMar>
          </w:tcPr>
          <w:p>
            <w:pPr>
              <w:jc w:val="left"/>
            </w:pPr>
            <w:r>
              <w:rPr>
                <w:b/>
                <w:bCs/>
                <w:color w:val="FFFFFF"/>
              </w:rPr>
              <w:t xml:space="preserve">Value</w:t>
            </w:r>
          </w:p>
        </w:tc>
        <w:tc>
          <w:tcPr>
            <w:tcW w:type="dxa" w:w="2000"/>
            <w:shd w:fill="1F3864" w:val="clear"/>
            <w:tcMar>
              <w:top w:type="dxa" w:w="80"/>
              <w:left w:type="dxa" w:w="100"/>
              <w:bottom w:type="dxa" w:w="80"/>
              <w:right w:type="dxa" w:w="100"/>
            </w:tcMar>
          </w:tcPr>
          <w:p>
            <w:pPr>
              <w:jc w:val="left"/>
            </w:pPr>
            <w:r>
              <w:rPr>
                <w:b/>
                <w:bCs/>
                <w:color w:val="FFFFFF"/>
              </w:rPr>
              <w:t xml:space="preserve">Type</w:t>
            </w:r>
          </w:p>
        </w:tc>
      </w:tr>
      <w:tr>
        <w:tc>
          <w:tcPr>
            <w:tcW w:type="dxa" w:w="3400"/>
            <w:shd w:fill="F2F2F2" w:val="clear"/>
            <w:tcMar>
              <w:top w:type="dxa" w:w="80"/>
              <w:left w:type="dxa" w:w="100"/>
              <w:bottom w:type="dxa" w:w="80"/>
              <w:right w:type="dxa" w:w="100"/>
            </w:tcMar>
          </w:tcPr>
          <w:p>
            <w:pPr>
              <w:jc w:val="left"/>
            </w:pPr>
            <w:r>
              <w:rPr>
                <w:b w:val="false"/>
                <w:bCs w:val="false"/>
                <w:color w:val="000000"/>
              </w:rPr>
              <w:t xml:space="preserve">Spoofed / impersonated domain</w:t>
            </w:r>
          </w:p>
        </w:tc>
        <w:tc>
          <w:tcPr>
            <w:tcW w:type="dxa" w:w="4600"/>
            <w:shd w:fill="F2F2F2" w:val="clear"/>
            <w:tcMar>
              <w:top w:type="dxa" w:w="80"/>
              <w:left w:type="dxa" w:w="100"/>
              <w:bottom w:type="dxa" w:w="80"/>
              <w:right w:type="dxa" w:w="100"/>
            </w:tcMar>
          </w:tcPr>
          <w:p>
            <w:pPr>
              <w:jc w:val="left"/>
            </w:pPr>
            <w:r>
              <w:rPr>
                <w:b w:val="false"/>
                <w:bCs w:val="false"/>
                <w:color w:val="000000"/>
              </w:rPr>
              <w:t xml:space="preserve">imperialtrustgroup.com</w:t>
            </w:r>
          </w:p>
        </w:tc>
        <w:tc>
          <w:tcPr>
            <w:tcW w:type="dxa" w:w="2000"/>
            <w:shd w:fill="F2F2F2" w:val="clear"/>
            <w:tcMar>
              <w:top w:type="dxa" w:w="80"/>
              <w:left w:type="dxa" w:w="100"/>
              <w:bottom w:type="dxa" w:w="80"/>
              <w:right w:type="dxa" w:w="100"/>
            </w:tcMar>
          </w:tcPr>
          <w:p>
            <w:pPr>
              <w:jc w:val="left"/>
            </w:pPr>
            <w:r>
              <w:rPr>
                <w:b w:val="false"/>
                <w:bCs w:val="false"/>
                <w:color w:val="000000"/>
              </w:rPr>
              <w:t xml:space="preserve">Domain</w:t>
            </w:r>
          </w:p>
        </w:tc>
      </w:tr>
      <w:tr>
        <w:tc>
          <w:tcPr>
            <w:tcW w:type="dxa" w:w="3400"/>
            <w:tcMar>
              <w:top w:type="dxa" w:w="80"/>
              <w:left w:type="dxa" w:w="100"/>
              <w:bottom w:type="dxa" w:w="80"/>
              <w:right w:type="dxa" w:w="100"/>
            </w:tcMar>
          </w:tcPr>
          <w:p>
            <w:pPr>
              <w:jc w:val="left"/>
            </w:pPr>
            <w:r>
              <w:rPr>
                <w:b w:val="false"/>
                <w:bCs w:val="false"/>
                <w:color w:val="000000"/>
              </w:rPr>
              <w:t xml:space="preserve">Sending / relay domain</w:t>
            </w:r>
          </w:p>
        </w:tc>
        <w:tc>
          <w:tcPr>
            <w:tcW w:type="dxa" w:w="4600"/>
            <w:tcMar>
              <w:top w:type="dxa" w:w="80"/>
              <w:left w:type="dxa" w:w="100"/>
              <w:bottom w:type="dxa" w:w="80"/>
              <w:right w:type="dxa" w:w="100"/>
            </w:tcMar>
          </w:tcPr>
          <w:p>
            <w:pPr>
              <w:jc w:val="left"/>
            </w:pPr>
            <w:r>
              <w:rPr>
                <w:b w:val="false"/>
                <w:bCs w:val="false"/>
                <w:color w:val="000000"/>
              </w:rPr>
              <w:t xml:space="preserve">srv2026.main-hosting.eu</w:t>
            </w:r>
          </w:p>
        </w:tc>
        <w:tc>
          <w:tcPr>
            <w:tcW w:type="dxa" w:w="2000"/>
            <w:tcMar>
              <w:top w:type="dxa" w:w="80"/>
              <w:left w:type="dxa" w:w="100"/>
              <w:bottom w:type="dxa" w:w="80"/>
              <w:right w:type="dxa" w:w="100"/>
            </w:tcMar>
          </w:tcPr>
          <w:p>
            <w:pPr>
              <w:jc w:val="left"/>
            </w:pPr>
            <w:r>
              <w:rPr>
                <w:b w:val="false"/>
                <w:bCs w:val="false"/>
                <w:color w:val="000000"/>
              </w:rPr>
              <w:t xml:space="preserve">Domain</w:t>
            </w:r>
          </w:p>
        </w:tc>
      </w:tr>
      <w:tr>
        <w:tc>
          <w:tcPr>
            <w:tcW w:type="dxa" w:w="3400"/>
            <w:shd w:fill="F2F2F2" w:val="clear"/>
            <w:tcMar>
              <w:top w:type="dxa" w:w="80"/>
              <w:left w:type="dxa" w:w="100"/>
              <w:bottom w:type="dxa" w:w="80"/>
              <w:right w:type="dxa" w:w="100"/>
            </w:tcMar>
          </w:tcPr>
          <w:p>
            <w:pPr>
              <w:jc w:val="left"/>
            </w:pPr>
            <w:r>
              <w:rPr>
                <w:b w:val="false"/>
                <w:bCs w:val="false"/>
                <w:color w:val="000000"/>
              </w:rPr>
              <w:t xml:space="preserve">Relay IP (MailChannels)</w:t>
            </w:r>
          </w:p>
        </w:tc>
        <w:tc>
          <w:tcPr>
            <w:tcW w:type="dxa" w:w="4600"/>
            <w:shd w:fill="F2F2F2" w:val="clear"/>
            <w:tcMar>
              <w:top w:type="dxa" w:w="80"/>
              <w:left w:type="dxa" w:w="100"/>
              <w:bottom w:type="dxa" w:w="80"/>
              <w:right w:type="dxa" w:w="100"/>
            </w:tcMar>
          </w:tcPr>
          <w:p>
            <w:pPr>
              <w:jc w:val="left"/>
            </w:pPr>
            <w:r>
              <w:rPr>
                <w:b w:val="false"/>
                <w:bCs w:val="false"/>
                <w:color w:val="000000"/>
              </w:rPr>
              <w:t xml:space="preserve">23.83.213.23</w:t>
            </w:r>
          </w:p>
        </w:tc>
        <w:tc>
          <w:tcPr>
            <w:tcW w:type="dxa" w:w="2000"/>
            <w:shd w:fill="F2F2F2" w:val="clear"/>
            <w:tcMar>
              <w:top w:type="dxa" w:w="80"/>
              <w:left w:type="dxa" w:w="100"/>
              <w:bottom w:type="dxa" w:w="80"/>
              <w:right w:type="dxa" w:w="100"/>
            </w:tcMar>
          </w:tcPr>
          <w:p>
            <w:pPr>
              <w:jc w:val="left"/>
            </w:pPr>
            <w:r>
              <w:rPr>
                <w:b w:val="false"/>
                <w:bCs w:val="false"/>
                <w:color w:val="000000"/>
              </w:rPr>
              <w:t xml:space="preserve">IPv4</w:t>
            </w:r>
          </w:p>
        </w:tc>
      </w:tr>
      <w:tr>
        <w:tc>
          <w:tcPr>
            <w:tcW w:type="dxa" w:w="3400"/>
            <w:tcMar>
              <w:top w:type="dxa" w:w="80"/>
              <w:left w:type="dxa" w:w="100"/>
              <w:bottom w:type="dxa" w:w="80"/>
              <w:right w:type="dxa" w:w="100"/>
            </w:tcMar>
          </w:tcPr>
          <w:p>
            <w:pPr>
              <w:jc w:val="left"/>
            </w:pPr>
            <w:r>
              <w:rPr>
                <w:b w:val="false"/>
                <w:bCs w:val="false"/>
                <w:color w:val="000000"/>
              </w:rPr>
              <w:t xml:space="preserve">From address (displayed)</w:t>
            </w:r>
          </w:p>
        </w:tc>
        <w:tc>
          <w:tcPr>
            <w:tcW w:type="dxa" w:w="4600"/>
            <w:tcMar>
              <w:top w:type="dxa" w:w="80"/>
              <w:left w:type="dxa" w:w="100"/>
              <w:bottom w:type="dxa" w:w="80"/>
              <w:right w:type="dxa" w:w="100"/>
            </w:tcMar>
          </w:tcPr>
          <w:p>
            <w:pPr>
              <w:jc w:val="left"/>
            </w:pPr>
            <w:r>
              <w:rPr>
                <w:b w:val="false"/>
                <w:bCs w:val="false"/>
                <w:color w:val="000000"/>
              </w:rPr>
              <w:t xml:space="preserve">wordpress@imperialtrustgroup.com</w:t>
            </w:r>
          </w:p>
        </w:tc>
        <w:tc>
          <w:tcPr>
            <w:tcW w:type="dxa" w:w="2000"/>
            <w:tcMar>
              <w:top w:type="dxa" w:w="80"/>
              <w:left w:type="dxa" w:w="100"/>
              <w:bottom w:type="dxa" w:w="80"/>
              <w:right w:type="dxa" w:w="100"/>
            </w:tcMar>
          </w:tcPr>
          <w:p>
            <w:pPr>
              <w:jc w:val="left"/>
            </w:pPr>
            <w:r>
              <w:rPr>
                <w:b w:val="false"/>
                <w:bCs w:val="false"/>
                <w:color w:val="000000"/>
              </w:rPr>
              <w:t xml:space="preserve">Email address</w:t>
            </w:r>
          </w:p>
        </w:tc>
      </w:tr>
      <w:tr>
        <w:tc>
          <w:tcPr>
            <w:tcW w:type="dxa" w:w="3400"/>
            <w:shd w:fill="F2F2F2" w:val="clear"/>
            <w:tcMar>
              <w:top w:type="dxa" w:w="80"/>
              <w:left w:type="dxa" w:w="100"/>
              <w:bottom w:type="dxa" w:w="80"/>
              <w:right w:type="dxa" w:w="100"/>
            </w:tcMar>
          </w:tcPr>
          <w:p>
            <w:pPr>
              <w:jc w:val="left"/>
            </w:pPr>
            <w:r>
              <w:rPr>
                <w:b w:val="false"/>
                <w:bCs w:val="false"/>
                <w:color w:val="000000"/>
              </w:rPr>
              <w:t xml:space="preserve">Return-Path (actual sender)</w:t>
            </w:r>
          </w:p>
        </w:tc>
        <w:tc>
          <w:tcPr>
            <w:tcW w:type="dxa" w:w="4600"/>
            <w:shd w:fill="F2F2F2" w:val="clear"/>
            <w:tcMar>
              <w:top w:type="dxa" w:w="80"/>
              <w:left w:type="dxa" w:w="100"/>
              <w:bottom w:type="dxa" w:w="80"/>
              <w:right w:type="dxa" w:w="100"/>
            </w:tcMar>
          </w:tcPr>
          <w:p>
            <w:pPr>
              <w:jc w:val="left"/>
            </w:pPr>
            <w:r>
              <w:rPr>
                <w:b w:val="false"/>
                <w:bCs w:val="false"/>
                <w:color w:val="000000"/>
              </w:rPr>
              <w:t xml:space="preserve">noreply@srv2026.main-hosting.eu</w:t>
            </w:r>
          </w:p>
        </w:tc>
        <w:tc>
          <w:tcPr>
            <w:tcW w:type="dxa" w:w="2000"/>
            <w:shd w:fill="F2F2F2" w:val="clear"/>
            <w:tcMar>
              <w:top w:type="dxa" w:w="80"/>
              <w:left w:type="dxa" w:w="100"/>
              <w:bottom w:type="dxa" w:w="80"/>
              <w:right w:type="dxa" w:w="100"/>
            </w:tcMar>
          </w:tcPr>
          <w:p>
            <w:pPr>
              <w:jc w:val="left"/>
            </w:pPr>
            <w:r>
              <w:rPr>
                <w:b w:val="false"/>
                <w:bCs w:val="false"/>
                <w:color w:val="000000"/>
              </w:rPr>
              <w:t xml:space="preserve">Email address</w:t>
            </w:r>
          </w:p>
        </w:tc>
      </w:tr>
      <w:tr>
        <w:tc>
          <w:tcPr>
            <w:tcW w:type="dxa" w:w="3400"/>
            <w:tcMar>
              <w:top w:type="dxa" w:w="80"/>
              <w:left w:type="dxa" w:w="100"/>
              <w:bottom w:type="dxa" w:w="80"/>
              <w:right w:type="dxa" w:w="100"/>
            </w:tcMar>
          </w:tcPr>
          <w:p>
            <w:pPr>
              <w:jc w:val="left"/>
            </w:pPr>
            <w:r>
              <w:rPr>
                <w:b w:val="false"/>
                <w:bCs w:val="false"/>
                <w:color w:val="000000"/>
              </w:rPr>
              <w:t xml:space="preserve">Subject line</w:t>
            </w:r>
          </w:p>
        </w:tc>
        <w:tc>
          <w:tcPr>
            <w:tcW w:type="dxa" w:w="4600"/>
            <w:tcMar>
              <w:top w:type="dxa" w:w="80"/>
              <w:left w:type="dxa" w:w="100"/>
              <w:bottom w:type="dxa" w:w="80"/>
              <w:right w:type="dxa" w:w="100"/>
            </w:tcMar>
          </w:tcPr>
          <w:p>
            <w:pPr>
              <w:jc w:val="left"/>
            </w:pPr>
            <w:r>
              <w:rPr>
                <w:b w:val="false"/>
                <w:bCs w:val="false"/>
                <w:color w:val="000000"/>
              </w:rPr>
              <w:t xml:space="preserve">Update Regarding Your Transfer Request</w:t>
            </w:r>
          </w:p>
        </w:tc>
        <w:tc>
          <w:tcPr>
            <w:tcW w:type="dxa" w:w="2000"/>
            <w:tcMar>
              <w:top w:type="dxa" w:w="80"/>
              <w:left w:type="dxa" w:w="100"/>
              <w:bottom w:type="dxa" w:w="80"/>
              <w:right w:type="dxa" w:w="100"/>
            </w:tcMar>
          </w:tcPr>
          <w:p>
            <w:pPr>
              <w:jc w:val="left"/>
            </w:pPr>
            <w:r>
              <w:rPr>
                <w:b w:val="false"/>
                <w:bCs w:val="false"/>
                <w:color w:val="000000"/>
              </w:rPr>
              <w:t xml:space="preserve">Lure / pretext</w:t>
            </w:r>
          </w:p>
        </w:tc>
      </w:tr>
      <w:tr>
        <w:tc>
          <w:tcPr>
            <w:tcW w:type="dxa" w:w="3400"/>
            <w:shd w:fill="F2F2F2" w:val="clear"/>
            <w:tcMar>
              <w:top w:type="dxa" w:w="80"/>
              <w:left w:type="dxa" w:w="100"/>
              <w:bottom w:type="dxa" w:w="80"/>
              <w:right w:type="dxa" w:w="100"/>
            </w:tcMar>
          </w:tcPr>
          <w:p>
            <w:pPr>
              <w:jc w:val="left"/>
            </w:pPr>
            <w:r>
              <w:rPr>
                <w:b w:val="false"/>
                <w:bCs w:val="false"/>
                <w:color w:val="000000"/>
              </w:rPr>
              <w:t xml:space="preserve">Mailer</w:t>
            </w:r>
          </w:p>
        </w:tc>
        <w:tc>
          <w:tcPr>
            <w:tcW w:type="dxa" w:w="4600"/>
            <w:shd w:fill="F2F2F2" w:val="clear"/>
            <w:tcMar>
              <w:top w:type="dxa" w:w="80"/>
              <w:left w:type="dxa" w:w="100"/>
              <w:bottom w:type="dxa" w:w="80"/>
              <w:right w:type="dxa" w:w="100"/>
            </w:tcMar>
          </w:tcPr>
          <w:p>
            <w:pPr>
              <w:jc w:val="left"/>
            </w:pPr>
            <w:r>
              <w:rPr>
                <w:b w:val="false"/>
                <w:bCs w:val="false"/>
                <w:color w:val="000000"/>
              </w:rPr>
              <w:t xml:space="preserve">PHPMailer 7.0.2</w:t>
            </w:r>
          </w:p>
        </w:tc>
        <w:tc>
          <w:tcPr>
            <w:tcW w:type="dxa" w:w="2000"/>
            <w:shd w:fill="F2F2F2" w:val="clear"/>
            <w:tcMar>
              <w:top w:type="dxa" w:w="80"/>
              <w:left w:type="dxa" w:w="100"/>
              <w:bottom w:type="dxa" w:w="80"/>
              <w:right w:type="dxa" w:w="100"/>
            </w:tcMar>
          </w:tcPr>
          <w:p>
            <w:pPr>
              <w:jc w:val="left"/>
            </w:pPr>
            <w:r>
              <w:rPr>
                <w:b w:val="false"/>
                <w:bCs w:val="false"/>
                <w:color w:val="000000"/>
              </w:rPr>
              <w:t xml:space="preserve">X-Mailer header</w:t>
            </w:r>
          </w:p>
        </w:tc>
      </w:tr>
      <w:tr>
        <w:tc>
          <w:tcPr>
            <w:tcW w:type="dxa" w:w="3400"/>
            <w:tcMar>
              <w:top w:type="dxa" w:w="80"/>
              <w:left w:type="dxa" w:w="100"/>
              <w:bottom w:type="dxa" w:w="80"/>
              <w:right w:type="dxa" w:w="100"/>
            </w:tcMar>
          </w:tcPr>
          <w:p>
            <w:pPr>
              <w:jc w:val="left"/>
            </w:pPr>
            <w:r>
              <w:rPr>
                <w:b w:val="false"/>
                <w:bCs w:val="false"/>
                <w:color w:val="000000"/>
              </w:rPr>
              <w:t xml:space="preserve">Registrar (both domains)</w:t>
            </w:r>
          </w:p>
        </w:tc>
        <w:tc>
          <w:tcPr>
            <w:tcW w:type="dxa" w:w="4600"/>
            <w:tcMar>
              <w:top w:type="dxa" w:w="80"/>
              <w:left w:type="dxa" w:w="100"/>
              <w:bottom w:type="dxa" w:w="80"/>
              <w:right w:type="dxa" w:w="100"/>
            </w:tcMar>
          </w:tcPr>
          <w:p>
            <w:pPr>
              <w:jc w:val="left"/>
            </w:pPr>
            <w:r>
              <w:rPr>
                <w:b w:val="false"/>
                <w:bCs w:val="false"/>
                <w:color w:val="000000"/>
              </w:rPr>
              <w:t xml:space="preserve">Hostinger operations, UAB</w:t>
            </w:r>
          </w:p>
        </w:tc>
        <w:tc>
          <w:tcPr>
            <w:tcW w:type="dxa" w:w="2000"/>
            <w:tcMar>
              <w:top w:type="dxa" w:w="80"/>
              <w:left w:type="dxa" w:w="100"/>
              <w:bottom w:type="dxa" w:w="80"/>
              <w:right w:type="dxa" w:w="100"/>
            </w:tcMar>
          </w:tcPr>
          <w:p>
            <w:pPr>
              <w:jc w:val="left"/>
            </w:pPr>
            <w:r>
              <w:rPr>
                <w:b w:val="false"/>
                <w:bCs w:val="false"/>
                <w:color w:val="000000"/>
              </w:rPr>
              <w:t xml:space="preserve">Registrar</w:t>
            </w:r>
          </w:p>
        </w:tc>
      </w:tr>
      <w:tr>
        <w:tc>
          <w:tcPr>
            <w:tcW w:type="dxa" w:w="3400"/>
            <w:shd w:fill="F2F2F2" w:val="clear"/>
            <w:tcMar>
              <w:top w:type="dxa" w:w="80"/>
              <w:left w:type="dxa" w:w="100"/>
              <w:bottom w:type="dxa" w:w="80"/>
              <w:right w:type="dxa" w:w="100"/>
            </w:tcMar>
          </w:tcPr>
          <w:p>
            <w:pPr>
              <w:jc w:val="left"/>
            </w:pPr>
            <w:r>
              <w:rPr>
                <w:b w:val="false"/>
                <w:bCs w:val="false"/>
                <w:color w:val="000000"/>
              </w:rPr>
              <w:t xml:space="preserve">imperialtrustgroup.com creation date</w:t>
            </w:r>
          </w:p>
        </w:tc>
        <w:tc>
          <w:tcPr>
            <w:tcW w:type="dxa" w:w="4600"/>
            <w:shd w:fill="F2F2F2" w:val="clear"/>
            <w:tcMar>
              <w:top w:type="dxa" w:w="80"/>
              <w:left w:type="dxa" w:w="100"/>
              <w:bottom w:type="dxa" w:w="80"/>
              <w:right w:type="dxa" w:w="100"/>
            </w:tcMar>
          </w:tcPr>
          <w:p>
            <w:pPr>
              <w:jc w:val="left"/>
            </w:pPr>
            <w:r>
              <w:rPr>
                <w:b w:val="false"/>
                <w:bCs w:val="false"/>
                <w:color w:val="000000"/>
              </w:rPr>
              <w:t xml:space="preserve">2026-06-14 (44 days old at time of receipt)</w:t>
            </w:r>
          </w:p>
        </w:tc>
        <w:tc>
          <w:tcPr>
            <w:tcW w:type="dxa" w:w="2000"/>
            <w:shd w:fill="F2F2F2" w:val="clear"/>
            <w:tcMar>
              <w:top w:type="dxa" w:w="80"/>
              <w:left w:type="dxa" w:w="100"/>
              <w:bottom w:type="dxa" w:w="80"/>
              <w:right w:type="dxa" w:w="100"/>
            </w:tcMar>
          </w:tcPr>
          <w:p>
            <w:pPr>
              <w:jc w:val="left"/>
            </w:pPr>
            <w:r>
              <w:rPr>
                <w:b w:val="false"/>
                <w:bCs w:val="false"/>
                <w:color w:val="000000"/>
              </w:rPr>
              <w:t xml:space="preserve">Domain age</w:t>
            </w:r>
          </w:p>
        </w:tc>
      </w:tr>
    </w:tbl>
    <w:p>
      <w:pPr>
        <w:pStyle w:val="Heading1"/>
        <w:spacing w:after="140" w:before="280"/>
      </w:pPr>
      <w:r>
        <w:t xml:space="preserve">7. Investigation Timeline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8600"/>
      </w:tblGrid>
      <w:tr>
        <w:trPr>
          <w:tblHeader/>
        </w:trPr>
        <w:tc>
          <w:tcPr>
            <w:tcW w:type="dxa" w:w="900"/>
            <w:shd w:fill="1F3864" w:val="clear"/>
            <w:tcMar>
              <w:top w:type="dxa" w:w="80"/>
              <w:left w:type="dxa" w:w="100"/>
              <w:bottom w:type="dxa" w:w="80"/>
              <w:right w:type="dxa" w:w="100"/>
            </w:tcMar>
          </w:tcPr>
          <w:p>
            <w:pPr>
              <w:jc w:val="center"/>
            </w:pPr>
            <w:r>
              <w:rPr>
                <w:b/>
                <w:bCs/>
                <w:color w:val="FFFFFF"/>
              </w:rPr>
              <w:t xml:space="preserve">Step</w:t>
            </w:r>
          </w:p>
        </w:tc>
        <w:tc>
          <w:tcPr>
            <w:tcW w:type="dxa" w:w="8600"/>
            <w:shd w:fill="1F3864" w:val="clear"/>
            <w:tcMar>
              <w:top w:type="dxa" w:w="80"/>
              <w:left w:type="dxa" w:w="100"/>
              <w:bottom w:type="dxa" w:w="80"/>
              <w:right w:type="dxa" w:w="100"/>
            </w:tcMar>
          </w:tcPr>
          <w:p>
            <w:pPr>
              <w:jc w:val="left"/>
            </w:pPr>
            <w:r>
              <w:rPr>
                <w:b/>
                <w:bCs/>
                <w:color w:val="FFFFFF"/>
              </w:rPr>
              <w:t xml:space="preserve">Action</w:t>
            </w:r>
          </w:p>
        </w:tc>
      </w:tr>
      <w:tr>
        <w:tc>
          <w:tcPr>
            <w:tcW w:type="dxa" w:w="900"/>
            <w:shd w:fill="F2F2F2" w:val="clear"/>
            <w:tcMar>
              <w:top w:type="dxa" w:w="80"/>
              <w:left w:type="dxa" w:w="100"/>
              <w:bottom w:type="dxa" w:w="80"/>
              <w:right w:type="dxa" w:w="100"/>
            </w:tcMar>
          </w:tcPr>
          <w:p>
            <w:pPr>
              <w:jc w:val="center"/>
            </w:pPr>
            <w:r>
              <w:rPr>
                <w:b w:val="false"/>
                <w:bCs w:val="false"/>
                <w:color w:val="000000"/>
              </w:rPr>
              <w:t xml:space="preserve">1</w:t>
            </w:r>
          </w:p>
        </w:tc>
        <w:tc>
          <w:tcPr>
            <w:tcW w:type="dxa" w:w="8600"/>
            <w:shd w:fill="F2F2F2" w:val="clear"/>
            <w:tcMar>
              <w:top w:type="dxa" w:w="80"/>
              <w:left w:type="dxa" w:w="100"/>
              <w:bottom w:type="dxa" w:w="80"/>
              <w:right w:type="dxa" w:w="100"/>
            </w:tcMar>
          </w:tcPr>
          <w:p>
            <w:pPr>
              <w:jc w:val="left"/>
            </w:pPr>
            <w:r>
              <w:rPr>
                <w:b w:val="false"/>
                <w:bCs w:val="false"/>
                <w:color w:val="000000"/>
              </w:rPr>
              <w:t xml:space="preserve">Received email in Gmail; "Show original" used to extract raw headers</w:t>
            </w:r>
          </w:p>
        </w:tc>
      </w:tr>
      <w:tr>
        <w:tc>
          <w:tcPr>
            <w:tcW w:type="dxa" w:w="900"/>
            <w:tcMar>
              <w:top w:type="dxa" w:w="80"/>
              <w:left w:type="dxa" w:w="100"/>
              <w:bottom w:type="dxa" w:w="80"/>
              <w:right w:type="dxa" w:w="100"/>
            </w:tcMar>
          </w:tcPr>
          <w:p>
            <w:pPr>
              <w:jc w:val="center"/>
            </w:pPr>
            <w:r>
              <w:rPr>
                <w:b w:val="false"/>
                <w:bCs w:val="false"/>
                <w:color w:val="000000"/>
              </w:rPr>
              <w:t xml:space="preserve">2</w:t>
            </w:r>
          </w:p>
        </w:tc>
        <w:tc>
          <w:tcPr>
            <w:tcW w:type="dxa" w:w="8600"/>
            <w:tcMar>
              <w:top w:type="dxa" w:w="80"/>
              <w:left w:type="dxa" w:w="100"/>
              <w:bottom w:type="dxa" w:w="80"/>
              <w:right w:type="dxa" w:w="100"/>
            </w:tcMar>
          </w:tcPr>
          <w:p>
            <w:pPr>
              <w:jc w:val="left"/>
            </w:pPr>
            <w:r>
              <w:rPr>
                <w:b w:val="false"/>
                <w:bCs w:val="false"/>
                <w:color w:val="000000"/>
              </w:rPr>
              <w:t xml:space="preserve">Identified From/Return-Path mismatch and reviewed SPF / DKIM / DMARC authentication results</w:t>
            </w:r>
          </w:p>
        </w:tc>
      </w:tr>
      <w:tr>
        <w:tc>
          <w:tcPr>
            <w:tcW w:type="dxa" w:w="900"/>
            <w:shd w:fill="F2F2F2" w:val="clear"/>
            <w:tcMar>
              <w:top w:type="dxa" w:w="80"/>
              <w:left w:type="dxa" w:w="100"/>
              <w:bottom w:type="dxa" w:w="80"/>
              <w:right w:type="dxa" w:w="100"/>
            </w:tcMar>
          </w:tcPr>
          <w:p>
            <w:pPr>
              <w:jc w:val="center"/>
            </w:pPr>
            <w:r>
              <w:rPr>
                <w:b w:val="false"/>
                <w:bCs w:val="false"/>
                <w:color w:val="000000"/>
              </w:rPr>
              <w:t xml:space="preserve">3</w:t>
            </w:r>
          </w:p>
        </w:tc>
        <w:tc>
          <w:tcPr>
            <w:tcW w:type="dxa" w:w="8600"/>
            <w:shd w:fill="F2F2F2" w:val="clear"/>
            <w:tcMar>
              <w:top w:type="dxa" w:w="80"/>
              <w:left w:type="dxa" w:w="100"/>
              <w:bottom w:type="dxa" w:w="80"/>
              <w:right w:type="dxa" w:w="100"/>
            </w:tcMar>
          </w:tcPr>
          <w:p>
            <w:pPr>
              <w:jc w:val="left"/>
            </w:pPr>
            <w:r>
              <w:rPr>
                <w:b w:val="false"/>
                <w:bCs w:val="false"/>
                <w:color w:val="000000"/>
              </w:rPr>
              <w:t xml:space="preserve">Confirmed DMARC record exists for imperialtrustgroup.com but policy is not enforced (p=NONE, sp=NONE), and no aligned DKIM signature is present</w:t>
            </w:r>
          </w:p>
        </w:tc>
      </w:tr>
      <w:tr>
        <w:tc>
          <w:tcPr>
            <w:tcW w:type="dxa" w:w="900"/>
            <w:tcMar>
              <w:top w:type="dxa" w:w="80"/>
              <w:left w:type="dxa" w:w="100"/>
              <w:bottom w:type="dxa" w:w="80"/>
              <w:right w:type="dxa" w:w="100"/>
            </w:tcMar>
          </w:tcPr>
          <w:p>
            <w:pPr>
              <w:jc w:val="center"/>
            </w:pPr>
            <w:r>
              <w:rPr>
                <w:b w:val="false"/>
                <w:bCs w:val="false"/>
                <w:color w:val="000000"/>
              </w:rPr>
              <w:t xml:space="preserve">4</w:t>
            </w:r>
          </w:p>
        </w:tc>
        <w:tc>
          <w:tcPr>
            <w:tcW w:type="dxa" w:w="8600"/>
            <w:tcMar>
              <w:top w:type="dxa" w:w="80"/>
              <w:left w:type="dxa" w:w="100"/>
              <w:bottom w:type="dxa" w:w="80"/>
              <w:right w:type="dxa" w:w="100"/>
            </w:tcMar>
          </w:tcPr>
          <w:p>
            <w:pPr>
              <w:jc w:val="left"/>
            </w:pPr>
            <w:r>
              <w:rPr>
                <w:b w:val="false"/>
                <w:bCs w:val="false"/>
                <w:color w:val="000000"/>
              </w:rPr>
              <w:t xml:space="preserve">Extracted source IP (23.83.213.23) from the SPF/Authentication-Results headers</w:t>
            </w:r>
          </w:p>
        </w:tc>
      </w:tr>
      <w:tr>
        <w:tc>
          <w:tcPr>
            <w:tcW w:type="dxa" w:w="900"/>
            <w:shd w:fill="F2F2F2" w:val="clear"/>
            <w:tcMar>
              <w:top w:type="dxa" w:w="80"/>
              <w:left w:type="dxa" w:w="100"/>
              <w:bottom w:type="dxa" w:w="80"/>
              <w:right w:type="dxa" w:w="100"/>
            </w:tcMar>
          </w:tcPr>
          <w:p>
            <w:pPr>
              <w:jc w:val="center"/>
            </w:pPr>
            <w:r>
              <w:rPr>
                <w:b w:val="false"/>
                <w:bCs w:val="false"/>
                <w:color w:val="000000"/>
              </w:rPr>
              <w:t xml:space="preserve">5</w:t>
            </w:r>
          </w:p>
        </w:tc>
        <w:tc>
          <w:tcPr>
            <w:tcW w:type="dxa" w:w="8600"/>
            <w:shd w:fill="F2F2F2" w:val="clear"/>
            <w:tcMar>
              <w:top w:type="dxa" w:w="80"/>
              <w:left w:type="dxa" w:w="100"/>
              <w:bottom w:type="dxa" w:w="80"/>
              <w:right w:type="dxa" w:w="100"/>
            </w:tcMar>
          </w:tcPr>
          <w:p>
            <w:pPr>
              <w:jc w:val="left"/>
            </w:pPr>
            <w:r>
              <w:rPr>
                <w:b w:val="false"/>
                <w:bCs w:val="false"/>
                <w:color w:val="000000"/>
              </w:rPr>
              <w:t xml:space="preserve">Performed IP WHOIS / RDAP lookup — resolved to MailChannels Corporation (Vancouver, CA), a legitimate outbound mail-filtering relay used by shared hosting providers</w:t>
            </w:r>
          </w:p>
        </w:tc>
      </w:tr>
      <w:tr>
        <w:tc>
          <w:tcPr>
            <w:tcW w:type="dxa" w:w="900"/>
            <w:tcMar>
              <w:top w:type="dxa" w:w="80"/>
              <w:left w:type="dxa" w:w="100"/>
              <w:bottom w:type="dxa" w:w="80"/>
              <w:right w:type="dxa" w:w="100"/>
            </w:tcMar>
          </w:tcPr>
          <w:p>
            <w:pPr>
              <w:jc w:val="center"/>
            </w:pPr>
            <w:r>
              <w:rPr>
                <w:b w:val="false"/>
                <w:bCs w:val="false"/>
                <w:color w:val="000000"/>
              </w:rPr>
              <w:t xml:space="preserve">6</w:t>
            </w:r>
          </w:p>
        </w:tc>
        <w:tc>
          <w:tcPr>
            <w:tcW w:type="dxa" w:w="8600"/>
            <w:tcMar>
              <w:top w:type="dxa" w:w="80"/>
              <w:left w:type="dxa" w:w="100"/>
              <w:bottom w:type="dxa" w:w="80"/>
              <w:right w:type="dxa" w:w="100"/>
            </w:tcMar>
          </w:tcPr>
          <w:p>
            <w:pPr>
              <w:jc w:val="left"/>
            </w:pPr>
            <w:r>
              <w:rPr>
                <w:b w:val="false"/>
                <w:bCs w:val="false"/>
                <w:color w:val="000000"/>
              </w:rPr>
              <w:t xml:space="preserve">Performed reverse DNS (PTR) guidance for 23.83.213.23, expecting resolution to *.relay.mailchannels.net, confirming this is shared relay infrastructure rather than an attacker-owned host</w:t>
            </w:r>
          </w:p>
        </w:tc>
      </w:tr>
      <w:tr>
        <w:tc>
          <w:tcPr>
            <w:tcW w:type="dxa" w:w="900"/>
            <w:shd w:fill="F2F2F2" w:val="clear"/>
            <w:tcMar>
              <w:top w:type="dxa" w:w="80"/>
              <w:left w:type="dxa" w:w="100"/>
              <w:bottom w:type="dxa" w:w="80"/>
              <w:right w:type="dxa" w:w="100"/>
            </w:tcMar>
          </w:tcPr>
          <w:p>
            <w:pPr>
              <w:jc w:val="center"/>
            </w:pPr>
            <w:r>
              <w:rPr>
                <w:b w:val="false"/>
                <w:bCs w:val="false"/>
                <w:color w:val="000000"/>
              </w:rPr>
              <w:t xml:space="preserve">7</w:t>
            </w:r>
          </w:p>
        </w:tc>
        <w:tc>
          <w:tcPr>
            <w:tcW w:type="dxa" w:w="8600"/>
            <w:shd w:fill="F2F2F2" w:val="clear"/>
            <w:tcMar>
              <w:top w:type="dxa" w:w="80"/>
              <w:left w:type="dxa" w:w="100"/>
              <w:bottom w:type="dxa" w:w="80"/>
              <w:right w:type="dxa" w:w="100"/>
            </w:tcMar>
          </w:tcPr>
          <w:p>
            <w:pPr>
              <w:jc w:val="left"/>
            </w:pPr>
            <w:r>
              <w:rPr>
                <w:b w:val="false"/>
                <w:bCs w:val="false"/>
                <w:color w:val="000000"/>
              </w:rPr>
              <w:t xml:space="preserve">Performed domain WHOIS on main-hosting.eu and imperialtrustgroup.com — both registered via Hostinger operations, UAB</w:t>
            </w:r>
          </w:p>
        </w:tc>
      </w:tr>
      <w:tr>
        <w:tc>
          <w:tcPr>
            <w:tcW w:type="dxa" w:w="900"/>
            <w:tcMar>
              <w:top w:type="dxa" w:w="80"/>
              <w:left w:type="dxa" w:w="100"/>
              <w:bottom w:type="dxa" w:w="80"/>
              <w:right w:type="dxa" w:w="100"/>
            </w:tcMar>
          </w:tcPr>
          <w:p>
            <w:pPr>
              <w:jc w:val="center"/>
            </w:pPr>
            <w:r>
              <w:rPr>
                <w:b w:val="false"/>
                <w:bCs w:val="false"/>
                <w:color w:val="000000"/>
              </w:rPr>
              <w:t xml:space="preserve">8</w:t>
            </w:r>
          </w:p>
        </w:tc>
        <w:tc>
          <w:tcPr>
            <w:tcW w:type="dxa" w:w="8600"/>
            <w:tcMar>
              <w:top w:type="dxa" w:w="80"/>
              <w:left w:type="dxa" w:w="100"/>
              <w:bottom w:type="dxa" w:w="80"/>
              <w:right w:type="dxa" w:w="100"/>
            </w:tcMar>
          </w:tcPr>
          <w:p>
            <w:pPr>
              <w:jc w:val="left"/>
            </w:pPr>
            <w:r>
              <w:rPr>
                <w:b w:val="false"/>
                <w:bCs w:val="false"/>
                <w:color w:val="000000"/>
              </w:rPr>
              <w:t xml:space="preserve">Found imperialtrustgroup.com was registered 44 days prior to the email, WHOIS-privacy protected, using DNS-parking nameservers, with no live website ("Registered And No Website")</w:t>
            </w:r>
          </w:p>
        </w:tc>
      </w:tr>
      <w:tr>
        <w:tc>
          <w:tcPr>
            <w:tcW w:type="dxa" w:w="900"/>
            <w:shd w:fill="F2F2F2" w:val="clear"/>
            <w:tcMar>
              <w:top w:type="dxa" w:w="80"/>
              <w:left w:type="dxa" w:w="100"/>
              <w:bottom w:type="dxa" w:w="80"/>
              <w:right w:type="dxa" w:w="100"/>
            </w:tcMar>
          </w:tcPr>
          <w:p>
            <w:pPr>
              <w:jc w:val="center"/>
            </w:pPr>
            <w:r>
              <w:rPr>
                <w:b w:val="false"/>
                <w:bCs w:val="false"/>
                <w:color w:val="000000"/>
              </w:rPr>
              <w:t xml:space="preserve">9</w:t>
            </w:r>
          </w:p>
        </w:tc>
        <w:tc>
          <w:tcPr>
            <w:tcW w:type="dxa" w:w="8600"/>
            <w:shd w:fill="F2F2F2" w:val="clear"/>
            <w:tcMar>
              <w:top w:type="dxa" w:w="80"/>
              <w:left w:type="dxa" w:w="100"/>
              <w:bottom w:type="dxa" w:w="80"/>
              <w:right w:type="dxa" w:w="100"/>
            </w:tcMar>
          </w:tcPr>
          <w:p>
            <w:pPr>
              <w:jc w:val="left"/>
            </w:pPr>
            <w:r>
              <w:rPr>
                <w:b w:val="false"/>
                <w:bCs w:val="false"/>
                <w:color w:val="000000"/>
              </w:rPr>
              <w:t xml:space="preserve">Concluded the message is a spoofed / impersonation phishing email using a freshly registered, unused domain as a business lure</w:t>
            </w:r>
          </w:p>
        </w:tc>
      </w:tr>
    </w:tbl>
    <w:p>
      <w:pPr>
        <w:pStyle w:val="Heading1"/>
        <w:spacing w:after="140" w:before="280"/>
      </w:pPr>
      <w:r>
        <w:t xml:space="preserve">8. MITRE ATT&amp;CK Mapping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600"/>
        <w:gridCol w:w="2900"/>
      </w:tblGrid>
      <w:tr>
        <w:trPr>
          <w:tblHeader/>
        </w:trPr>
        <w:tc>
          <w:tcPr>
            <w:tcW w:type="dxa" w:w="2200"/>
            <w:shd w:fill="1F3864" w:val="clear"/>
            <w:tcMar>
              <w:top w:type="dxa" w:w="80"/>
              <w:left w:type="dxa" w:w="100"/>
              <w:bottom w:type="dxa" w:w="80"/>
              <w:right w:type="dxa" w:w="100"/>
            </w:tcMar>
          </w:tcPr>
          <w:p>
            <w:pPr>
              <w:jc w:val="left"/>
            </w:pPr>
            <w:r>
              <w:rPr>
                <w:b/>
                <w:bCs/>
                <w:color w:val="FFFFFF"/>
              </w:rPr>
              <w:t xml:space="preserve">Tactic</w:t>
            </w:r>
          </w:p>
        </w:tc>
        <w:tc>
          <w:tcPr>
            <w:tcW w:type="dxa" w:w="3600"/>
            <w:shd w:fill="1F3864" w:val="clear"/>
            <w:tcMar>
              <w:top w:type="dxa" w:w="80"/>
              <w:left w:type="dxa" w:w="100"/>
              <w:bottom w:type="dxa" w:w="80"/>
              <w:right w:type="dxa" w:w="100"/>
            </w:tcMar>
          </w:tcPr>
          <w:p>
            <w:pPr>
              <w:jc w:val="left"/>
            </w:pPr>
            <w:r>
              <w:rPr>
                <w:b/>
                <w:bCs/>
                <w:color w:val="FFFFFF"/>
              </w:rPr>
              <w:t xml:space="preserve">Technique</w:t>
            </w:r>
          </w:p>
        </w:tc>
        <w:tc>
          <w:tcPr>
            <w:tcW w:type="dxa" w:w="1600"/>
            <w:shd w:fill="1F3864" w:val="clear"/>
            <w:tcMar>
              <w:top w:type="dxa" w:w="80"/>
              <w:left w:type="dxa" w:w="100"/>
              <w:bottom w:type="dxa" w:w="80"/>
              <w:right w:type="dxa" w:w="100"/>
            </w:tcMar>
          </w:tcPr>
          <w:p>
            <w:pPr>
              <w:jc w:val="left"/>
            </w:pPr>
            <w:r>
              <w:rPr>
                <w:b/>
                <w:bCs/>
                <w:color w:val="FFFFFF"/>
              </w:rPr>
              <w:t xml:space="preserve">ID</w:t>
            </w:r>
          </w:p>
        </w:tc>
        <w:tc>
          <w:tcPr>
            <w:tcW w:type="dxa" w:w="2900"/>
            <w:shd w:fill="1F3864" w:val="clear"/>
            <w:tcMar>
              <w:top w:type="dxa" w:w="80"/>
              <w:left w:type="dxa" w:w="100"/>
              <w:bottom w:type="dxa" w:w="80"/>
              <w:right w:type="dxa" w:w="100"/>
            </w:tcMar>
          </w:tcPr>
          <w:p>
            <w:pPr>
              <w:jc w:val="left"/>
            </w:pPr>
            <w:r>
              <w:rPr>
                <w:b/>
                <w:bCs/>
                <w:color w:val="FFFFFF"/>
              </w:rPr>
              <w:t xml:space="preserve">Evidence</w:t>
            </w:r>
          </w:p>
        </w:tc>
      </w:tr>
      <w:tr>
        <w:tc>
          <w:tcPr>
            <w:tcW w:type="dxa" w:w="2200"/>
            <w:shd w:fill="F2F2F2" w:val="clear"/>
            <w:tcMar>
              <w:top w:type="dxa" w:w="80"/>
              <w:left w:type="dxa" w:w="100"/>
              <w:bottom w:type="dxa" w:w="80"/>
              <w:right w:type="dxa" w:w="100"/>
            </w:tcMar>
          </w:tcPr>
          <w:p>
            <w:pPr>
              <w:jc w:val="left"/>
            </w:pPr>
            <w:r>
              <w:rPr>
                <w:b/>
                <w:bCs/>
                <w:color w:val="000000"/>
              </w:rPr>
              <w:t xml:space="preserve">Reconnaissance</w:t>
            </w:r>
          </w:p>
        </w:tc>
        <w:tc>
          <w:tcPr>
            <w:tcW w:type="dxa" w:w="3600"/>
            <w:shd w:fill="F2F2F2" w:val="clear"/>
            <w:tcMar>
              <w:top w:type="dxa" w:w="80"/>
              <w:left w:type="dxa" w:w="100"/>
              <w:bottom w:type="dxa" w:w="80"/>
              <w:right w:type="dxa" w:w="100"/>
            </w:tcMar>
          </w:tcPr>
          <w:p>
            <w:pPr>
              <w:jc w:val="left"/>
            </w:pPr>
            <w:r>
              <w:rPr>
                <w:b w:val="false"/>
                <w:bCs w:val="false"/>
                <w:color w:val="000000"/>
              </w:rPr>
              <w:t xml:space="preserve">Domains — acquire infrastructure to impersonate a trusted entity</w:t>
            </w:r>
          </w:p>
        </w:tc>
        <w:tc>
          <w:tcPr>
            <w:tcW w:type="dxa" w:w="1600"/>
            <w:shd w:fill="F2F2F2" w:val="clear"/>
            <w:tcMar>
              <w:top w:type="dxa" w:w="80"/>
              <w:left w:type="dxa" w:w="100"/>
              <w:bottom w:type="dxa" w:w="80"/>
              <w:right w:type="dxa" w:w="100"/>
            </w:tcMar>
          </w:tcPr>
          <w:p>
            <w:pPr>
              <w:jc w:val="left"/>
            </w:pPr>
            <w:r>
              <w:rPr>
                <w:b w:val="false"/>
                <w:bCs w:val="false"/>
                <w:color w:val="000000"/>
              </w:rPr>
              <w:t xml:space="preserve">T1583.001 / T1585.001</w:t>
            </w:r>
          </w:p>
        </w:tc>
        <w:tc>
          <w:tcPr>
            <w:tcW w:type="dxa" w:w="2900"/>
            <w:shd w:fill="F2F2F2" w:val="clear"/>
            <w:tcMar>
              <w:top w:type="dxa" w:w="80"/>
              <w:left w:type="dxa" w:w="100"/>
              <w:bottom w:type="dxa" w:w="80"/>
              <w:right w:type="dxa" w:w="100"/>
            </w:tcMar>
          </w:tcPr>
          <w:p>
            <w:pPr>
              <w:jc w:val="left"/>
            </w:pPr>
            <w:r>
              <w:rPr>
                <w:b w:val="false"/>
                <w:bCs w:val="false"/>
                <w:color w:val="000000"/>
              </w:rPr>
              <w:t xml:space="preserve">Registration of imperialtrustgroup.com (44 days old, Hostinger, WHOIS-privacy protected, parked / no live site)</w:t>
            </w:r>
          </w:p>
        </w:tc>
      </w:tr>
      <w:tr>
        <w:tc>
          <w:tcPr>
            <w:tcW w:type="dxa" w:w="2200"/>
            <w:tcMar>
              <w:top w:type="dxa" w:w="80"/>
              <w:left w:type="dxa" w:w="100"/>
              <w:bottom w:type="dxa" w:w="80"/>
              <w:right w:type="dxa" w:w="100"/>
            </w:tcMar>
          </w:tcPr>
          <w:p>
            <w:pPr>
              <w:jc w:val="left"/>
            </w:pPr>
            <w:r>
              <w:rPr>
                <w:b/>
                <w:bCs/>
                <w:color w:val="000000"/>
              </w:rPr>
              <w:t xml:space="preserve">Resource Development</w:t>
            </w:r>
          </w:p>
        </w:tc>
        <w:tc>
          <w:tcPr>
            <w:tcW w:type="dxa" w:w="3600"/>
            <w:tcMar>
              <w:top w:type="dxa" w:w="80"/>
              <w:left w:type="dxa" w:w="100"/>
              <w:bottom w:type="dxa" w:w="80"/>
              <w:right w:type="dxa" w:w="100"/>
            </w:tcMar>
          </w:tcPr>
          <w:p>
            <w:pPr>
              <w:jc w:val="left"/>
            </w:pPr>
            <w:r>
              <w:rPr>
                <w:b w:val="false"/>
                <w:bCs w:val="false"/>
                <w:color w:val="000000"/>
              </w:rPr>
              <w:t xml:space="preserve">Compromise / rent infrastructure — email service</w:t>
            </w:r>
          </w:p>
        </w:tc>
        <w:tc>
          <w:tcPr>
            <w:tcW w:type="dxa" w:w="1600"/>
            <w:tcMar>
              <w:top w:type="dxa" w:w="80"/>
              <w:left w:type="dxa" w:w="100"/>
              <w:bottom w:type="dxa" w:w="80"/>
              <w:right w:type="dxa" w:w="100"/>
            </w:tcMar>
          </w:tcPr>
          <w:p>
            <w:pPr>
              <w:jc w:val="left"/>
            </w:pPr>
            <w:r>
              <w:rPr>
                <w:b w:val="false"/>
                <w:bCs w:val="false"/>
                <w:color w:val="000000"/>
              </w:rPr>
              <w:t xml:space="preserve">T1586.002 / T1584.002</w:t>
            </w:r>
          </w:p>
        </w:tc>
        <w:tc>
          <w:tcPr>
            <w:tcW w:type="dxa" w:w="2900"/>
            <w:tcMar>
              <w:top w:type="dxa" w:w="80"/>
              <w:left w:type="dxa" w:w="100"/>
              <w:bottom w:type="dxa" w:w="80"/>
              <w:right w:type="dxa" w:w="100"/>
            </w:tcMar>
          </w:tcPr>
          <w:p>
            <w:pPr>
              <w:jc w:val="left"/>
            </w:pPr>
            <w:r>
              <w:rPr>
                <w:b w:val="false"/>
                <w:bCs w:val="false"/>
                <w:color w:val="000000"/>
              </w:rPr>
              <w:t xml:space="preserve">Use of shared Hostinger hosting (srv2026.main-hosting.eu) with PHPMailer to send bulk mail via the MailChannels outbound relay</w:t>
            </w:r>
          </w:p>
        </w:tc>
      </w:tr>
      <w:tr>
        <w:tc>
          <w:tcPr>
            <w:tcW w:type="dxa" w:w="2200"/>
            <w:shd w:fill="F2F2F2" w:val="clear"/>
            <w:tcMar>
              <w:top w:type="dxa" w:w="80"/>
              <w:left w:type="dxa" w:w="100"/>
              <w:bottom w:type="dxa" w:w="80"/>
              <w:right w:type="dxa" w:w="100"/>
            </w:tcMar>
          </w:tcPr>
          <w:p>
            <w:pPr>
              <w:jc w:val="left"/>
            </w:pPr>
            <w:r>
              <w:rPr>
                <w:b/>
                <w:bCs/>
                <w:color w:val="000000"/>
              </w:rPr>
              <w:t xml:space="preserve">Initial Access</w:t>
            </w:r>
          </w:p>
        </w:tc>
        <w:tc>
          <w:tcPr>
            <w:tcW w:type="dxa" w:w="3600"/>
            <w:shd w:fill="F2F2F2" w:val="clear"/>
            <w:tcMar>
              <w:top w:type="dxa" w:w="80"/>
              <w:left w:type="dxa" w:w="100"/>
              <w:bottom w:type="dxa" w:w="80"/>
              <w:right w:type="dxa" w:w="100"/>
            </w:tcMar>
          </w:tcPr>
          <w:p>
            <w:pPr>
              <w:jc w:val="left"/>
            </w:pPr>
            <w:r>
              <w:rPr>
                <w:b w:val="false"/>
                <w:bCs w:val="false"/>
                <w:color w:val="000000"/>
              </w:rPr>
              <w:t xml:space="preserve">Phishing: Spearphishing Link</w:t>
            </w:r>
          </w:p>
        </w:tc>
        <w:tc>
          <w:tcPr>
            <w:tcW w:type="dxa" w:w="1600"/>
            <w:shd w:fill="F2F2F2" w:val="clear"/>
            <w:tcMar>
              <w:top w:type="dxa" w:w="80"/>
              <w:left w:type="dxa" w:w="100"/>
              <w:bottom w:type="dxa" w:w="80"/>
              <w:right w:type="dxa" w:w="100"/>
            </w:tcMar>
          </w:tcPr>
          <w:p>
            <w:pPr>
              <w:jc w:val="left"/>
            </w:pPr>
            <w:r>
              <w:rPr>
                <w:b w:val="false"/>
                <w:bCs w:val="false"/>
                <w:color w:val="000000"/>
              </w:rPr>
              <w:t xml:space="preserve">T1566.002</w:t>
            </w:r>
          </w:p>
        </w:tc>
        <w:tc>
          <w:tcPr>
            <w:tcW w:type="dxa" w:w="2900"/>
            <w:shd w:fill="F2F2F2" w:val="clear"/>
            <w:tcMar>
              <w:top w:type="dxa" w:w="80"/>
              <w:left w:type="dxa" w:w="100"/>
              <w:bottom w:type="dxa" w:w="80"/>
              <w:right w:type="dxa" w:w="100"/>
            </w:tcMar>
          </w:tcPr>
          <w:p>
            <w:pPr>
              <w:jc w:val="left"/>
            </w:pPr>
            <w:r>
              <w:rPr>
                <w:b w:val="false"/>
                <w:bCs w:val="false"/>
                <w:color w:val="000000"/>
              </w:rPr>
              <w:t xml:space="preserve">"Transfer Request" pretext designed to drive a click to a spoofed link or landing page</w:t>
            </w:r>
          </w:p>
        </w:tc>
      </w:tr>
      <w:tr>
        <w:tc>
          <w:tcPr>
            <w:tcW w:type="dxa" w:w="2200"/>
            <w:tcMar>
              <w:top w:type="dxa" w:w="80"/>
              <w:left w:type="dxa" w:w="100"/>
              <w:bottom w:type="dxa" w:w="80"/>
              <w:right w:type="dxa" w:w="100"/>
            </w:tcMar>
          </w:tcPr>
          <w:p>
            <w:pPr>
              <w:jc w:val="left"/>
            </w:pPr>
            <w:r>
              <w:rPr>
                <w:b/>
                <w:bCs/>
                <w:color w:val="000000"/>
              </w:rPr>
              <w:t xml:space="preserve">Defense Evasion</w:t>
            </w:r>
          </w:p>
        </w:tc>
        <w:tc>
          <w:tcPr>
            <w:tcW w:type="dxa" w:w="3600"/>
            <w:tcMar>
              <w:top w:type="dxa" w:w="80"/>
              <w:left w:type="dxa" w:w="100"/>
              <w:bottom w:type="dxa" w:w="80"/>
              <w:right w:type="dxa" w:w="100"/>
            </w:tcMar>
          </w:tcPr>
          <w:p>
            <w:pPr>
              <w:jc w:val="left"/>
            </w:pPr>
            <w:r>
              <w:rPr>
                <w:b w:val="false"/>
                <w:bCs w:val="false"/>
                <w:color w:val="000000"/>
              </w:rPr>
              <w:t xml:space="preserve">Impersonation / spoofing via weak DMARC enforcement</w:t>
            </w:r>
          </w:p>
        </w:tc>
        <w:tc>
          <w:tcPr>
            <w:tcW w:type="dxa" w:w="1600"/>
            <w:tcMar>
              <w:top w:type="dxa" w:w="80"/>
              <w:left w:type="dxa" w:w="100"/>
              <w:bottom w:type="dxa" w:w="80"/>
              <w:right w:type="dxa" w:w="100"/>
            </w:tcMar>
          </w:tcPr>
          <w:p>
            <w:pPr>
              <w:jc w:val="left"/>
            </w:pPr>
            <w:r>
              <w:rPr>
                <w:b w:val="false"/>
                <w:bCs w:val="false"/>
                <w:color w:val="000000"/>
              </w:rPr>
              <w:t xml:space="preserve">T1656</w:t>
            </w:r>
          </w:p>
        </w:tc>
        <w:tc>
          <w:tcPr>
            <w:tcW w:type="dxa" w:w="2900"/>
            <w:tcMar>
              <w:top w:type="dxa" w:w="80"/>
              <w:left w:type="dxa" w:w="100"/>
              <w:bottom w:type="dxa" w:w="80"/>
              <w:right w:type="dxa" w:w="100"/>
            </w:tcMar>
          </w:tcPr>
          <w:p>
            <w:pPr>
              <w:jc w:val="left"/>
            </w:pPr>
            <w:r>
              <w:rPr>
                <w:b w:val="false"/>
                <w:bCs w:val="false"/>
                <w:color w:val="000000"/>
              </w:rPr>
              <w:t xml:space="preserve">From header spoofs imperialtrustgroup.com; SPF passes only for the unrelated sending domain; DMARC fails but p=NONE means no enforcement, so the message was not blocked or quarantined</w:t>
            </w:r>
          </w:p>
        </w:tc>
      </w:tr>
    </w:tbl>
    <w:p>
      <w:pPr>
        <w:pStyle w:val="Heading1"/>
        <w:spacing w:after="140" w:before="280"/>
      </w:pPr>
      <w:r>
        <w:t xml:space="preserve">9. Conclusion</w:t>
      </w:r>
    </w:p>
    <w:p>
      <w:pPr>
        <w:spacing w:after="160"/>
      </w:pPr>
      <w:r>
        <w:t xml:space="preserve">This email is assessed with high confidence to be a phishing message impersonating imperialtrustgroup.com in a transfer-fraud / business email compromise (BEC) pretext. The sender does not control the domain shown in the From header, the impersonated domain is newly registered and unused, and the message only reached the inbox because the impersonated domain's DMARC policy was not enforced. No links were clicked and no attachments were opened during this investigation; all analysis was performed passively against headers, DNS, and WHOIS data.</w:t>
      </w:r>
    </w:p>
    <w:p>
      <w:pPr>
        <w:pStyle w:val="Heading1"/>
        <w:spacing w:after="140" w:before="280"/>
      </w:pPr>
      <w:r>
        <w:t xml:space="preserve">10. Recommendations</w:t>
      </w:r>
    </w:p>
    <w:p>
      <w:pPr>
        <w:pStyle w:val="ListParagraph"/>
        <w:numPr>
          <w:ilvl w:val="0"/>
          <w:numId w:val="1"/>
        </w:numPr>
        <w:spacing w:after="80"/>
      </w:pPr>
      <w:r>
        <w:t xml:space="preserve">Do not click any links or reply to the message; delete or mark as phishing in Gmail to feed Google's abuse detection.</w:t>
      </w:r>
    </w:p>
    <w:p>
      <w:pPr>
        <w:pStyle w:val="ListParagraph"/>
        <w:numPr>
          <w:ilvl w:val="0"/>
          <w:numId w:val="1"/>
        </w:numPr>
        <w:spacing w:after="80"/>
      </w:pPr>
      <w:r>
        <w:t xml:space="preserve">Report abuse to Hostinger via abuse-tracker@hostinger.com, citing both domains and the full header trace.</w:t>
      </w:r>
    </w:p>
    <w:p>
      <w:pPr>
        <w:pStyle w:val="ListParagraph"/>
        <w:numPr>
          <w:ilvl w:val="0"/>
          <w:numId w:val="1"/>
        </w:numPr>
        <w:spacing w:after="80"/>
      </w:pPr>
      <w:r>
        <w:t xml:space="preserve">If received on a CCI-monitored mailbox, escalate to the security/IT team as a targeted BEC attempt and flag the sender/domain for blocklisting at the mail gateway.</w:t>
      </w:r>
    </w:p>
    <w:p>
      <w:pPr>
        <w:pStyle w:val="ListParagraph"/>
        <w:numPr>
          <w:ilvl w:val="0"/>
          <w:numId w:val="1"/>
        </w:numPr>
        <w:spacing w:after="80"/>
      </w:pPr>
      <w:r>
        <w:t xml:space="preserve">Treat any unsolicited "transfer request" or "update regarding your transfer" email as high-risk regardless of apparent sender authenticity; verify through an independently known contact channel, never via the email itself.</w:t>
      </w:r>
    </w:p>
    <w:p>
      <w:pPr>
        <w:pStyle w:val="ListParagraph"/>
        <w:numPr>
          <w:ilvl w:val="0"/>
          <w:numId w:val="1"/>
        </w:numPr>
        <w:spacing w:after="80"/>
      </w:pPr>
      <w:r>
        <w:t xml:space="preserve">As a broader control recommendation: organizations should publish DMARC with an enforced policy (p=quarantine or p=reject) rather than p=none, to prevent spoofed mail using their domain from reaching recipients.</w:t>
      </w:r>
    </w:p>
    <w:p>
      <w:pPr>
        <w:spacing w:after="300"/>
      </w:pPr>
    </w:p>
    <w:p>
      <w:r>
        <w:rPr>
          <w:i/>
          <w:iCs/>
          <w:color w:val="777777"/>
          <w:sz w:val="20"/>
          <w:szCs w:val="20"/>
        </w:rPr>
        <w:t xml:space="preserve">Prepared as independent security-analysis lab practice, applying SOC investigation methodology (header/log analysis, DNS/WHOIS enrichment, MITRE ATT&amp;CK mapping) to a real-world phishing sample.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2026-07-28T11:10:03.190Z</dcterms:created>
  <dcterms:modified xsi:type="dcterms:W3CDTF">2026-07-28T11:10:03.333Z</dcterms:modified>
</cp:coreProperties>
</file>

<file path=docProps/custom.xml><?xml version="1.0" encoding="utf-8"?>
<Properties xmlns="http://schemas.openxmlformats.org/officeDocument/2006/custom-properties" xmlns:vt="http://schemas.openxmlformats.org/officeDocument/2006/docPropsVTypes"/>
</file>