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68180" w14:textId="066628D8" w:rsidR="008B28FC" w:rsidRDefault="008B3789">
      <w:r>
        <w:t>7/22/2026 (RJH +AI)</w:t>
      </w:r>
    </w:p>
    <w:p w14:paraId="142226C9" w14:textId="77777777" w:rsidR="008B3789" w:rsidRDefault="008B3789"/>
    <w:p w14:paraId="6DEBAFCF" w14:textId="77777777" w:rsidR="008B3789" w:rsidRPr="008B3789" w:rsidRDefault="008B3789" w:rsidP="008B378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8B3789">
        <w:rPr>
          <w:rFonts w:ascii="Segoe UI" w:eastAsia="Times New Roman" w:hAnsi="Segoe UI" w:cs="Segoe UI"/>
          <w:b/>
          <w:bCs/>
          <w:kern w:val="0"/>
          <w:sz w:val="27"/>
          <w:szCs w:val="27"/>
          <w14:ligatures w14:val="none"/>
        </w:rPr>
        <w:t>Explanation of Change to Life Expectancy Calculation</w:t>
      </w:r>
    </w:p>
    <w:p w14:paraId="05C47976" w14:textId="77777777" w:rsidR="008B3789" w:rsidRPr="008B3789" w:rsidRDefault="008B3789" w:rsidP="008B3789">
      <w:pPr>
        <w:spacing w:before="100" w:beforeAutospacing="1" w:after="100" w:afterAutospacing="1" w:line="300" w:lineRule="atLeast"/>
        <w:rPr>
          <w:rFonts w:ascii="Segoe UI" w:eastAsia="Times New Roman" w:hAnsi="Segoe UI" w:cs="Segoe UI"/>
          <w:kern w:val="0"/>
          <w:sz w:val="21"/>
          <w:szCs w:val="21"/>
          <w14:ligatures w14:val="none"/>
        </w:rPr>
      </w:pPr>
      <w:r w:rsidRPr="008B3789">
        <w:rPr>
          <w:rFonts w:ascii="Segoe UI" w:eastAsia="Times New Roman" w:hAnsi="Segoe UI" w:cs="Segoe UI"/>
          <w:kern w:val="0"/>
          <w:sz w:val="21"/>
          <w:szCs w:val="21"/>
          <w14:ligatures w14:val="none"/>
        </w:rPr>
        <w:t xml:space="preserve">Historically, life expectancy was calculated using annual mortality rates and annual survival probabilities. Under that approach, the calculation effectively assumed that deaths occur only at the end of each policy year. Because this "annual" method does not recognize partial years lived in the year of death, it produces a slightly understated life expectancy. To compensate for this limitation, an additional </w:t>
      </w:r>
      <w:r w:rsidRPr="008B3789">
        <w:rPr>
          <w:rFonts w:ascii="Segoe UI" w:eastAsia="Times New Roman" w:hAnsi="Segoe UI" w:cs="Segoe UI"/>
          <w:b/>
          <w:bCs/>
          <w:kern w:val="0"/>
          <w:sz w:val="21"/>
          <w:szCs w:val="21"/>
          <w14:ligatures w14:val="none"/>
        </w:rPr>
        <w:t>0.5 years</w:t>
      </w:r>
      <w:r w:rsidRPr="008B3789">
        <w:rPr>
          <w:rFonts w:ascii="Segoe UI" w:eastAsia="Times New Roman" w:hAnsi="Segoe UI" w:cs="Segoe UI"/>
          <w:kern w:val="0"/>
          <w:sz w:val="21"/>
          <w:szCs w:val="21"/>
          <w14:ligatures w14:val="none"/>
        </w:rPr>
        <w:t xml:space="preserve"> was added to the result. This adjustment is a standard actuarial approximation that assumes deaths are spread evenly throughout the year.</w:t>
      </w:r>
    </w:p>
    <w:p w14:paraId="5D744EA6" w14:textId="77777777" w:rsidR="008B3789" w:rsidRPr="008B3789" w:rsidRDefault="008B3789" w:rsidP="008B3789">
      <w:pPr>
        <w:spacing w:before="100" w:beforeAutospacing="1" w:after="100" w:afterAutospacing="1" w:line="300" w:lineRule="atLeast"/>
        <w:rPr>
          <w:rFonts w:ascii="Segoe UI" w:eastAsia="Times New Roman" w:hAnsi="Segoe UI" w:cs="Segoe UI"/>
          <w:kern w:val="0"/>
          <w:sz w:val="21"/>
          <w:szCs w:val="21"/>
          <w14:ligatures w14:val="none"/>
        </w:rPr>
      </w:pPr>
      <w:r w:rsidRPr="008B3789">
        <w:rPr>
          <w:rFonts w:ascii="Segoe UI" w:eastAsia="Times New Roman" w:hAnsi="Segoe UI" w:cs="Segoe UI"/>
          <w:kern w:val="0"/>
          <w:sz w:val="21"/>
          <w:szCs w:val="21"/>
          <w14:ligatures w14:val="none"/>
        </w:rPr>
        <w:t xml:space="preserve">The revised methodology calculates life expectancy </w:t>
      </w:r>
      <w:proofErr w:type="gramStart"/>
      <w:r w:rsidRPr="008B3789">
        <w:rPr>
          <w:rFonts w:ascii="Segoe UI" w:eastAsia="Times New Roman" w:hAnsi="Segoe UI" w:cs="Segoe UI"/>
          <w:kern w:val="0"/>
          <w:sz w:val="21"/>
          <w:szCs w:val="21"/>
          <w14:ligatures w14:val="none"/>
        </w:rPr>
        <w:t xml:space="preserve">on a </w:t>
      </w:r>
      <w:r w:rsidRPr="008B3789">
        <w:rPr>
          <w:rFonts w:ascii="Segoe UI" w:eastAsia="Times New Roman" w:hAnsi="Segoe UI" w:cs="Segoe UI"/>
          <w:b/>
          <w:bCs/>
          <w:kern w:val="0"/>
          <w:sz w:val="21"/>
          <w:szCs w:val="21"/>
          <w14:ligatures w14:val="none"/>
        </w:rPr>
        <w:t>monthly basis</w:t>
      </w:r>
      <w:proofErr w:type="gramEnd"/>
      <w:r w:rsidRPr="008B3789">
        <w:rPr>
          <w:rFonts w:ascii="Segoe UI" w:eastAsia="Times New Roman" w:hAnsi="Segoe UI" w:cs="Segoe UI"/>
          <w:kern w:val="0"/>
          <w:sz w:val="21"/>
          <w:szCs w:val="21"/>
          <w14:ligatures w14:val="none"/>
        </w:rPr>
        <w:t xml:space="preserve"> rather than an annual basis. Annual survival probabilities are first converted to equivalent monthly survival probabilities using a </w:t>
      </w:r>
      <w:r w:rsidRPr="008B3789">
        <w:rPr>
          <w:rFonts w:ascii="Segoe UI" w:eastAsia="Times New Roman" w:hAnsi="Segoe UI" w:cs="Segoe UI"/>
          <w:b/>
          <w:bCs/>
          <w:kern w:val="0"/>
          <w:sz w:val="21"/>
          <w:szCs w:val="21"/>
          <w14:ligatures w14:val="none"/>
        </w:rPr>
        <w:t>constant force of mortality</w:t>
      </w:r>
      <w:r w:rsidRPr="008B3789">
        <w:rPr>
          <w:rFonts w:ascii="Segoe UI" w:eastAsia="Times New Roman" w:hAnsi="Segoe UI" w:cs="Segoe UI"/>
          <w:kern w:val="0"/>
          <w:sz w:val="21"/>
          <w:szCs w:val="21"/>
          <w14:ligatures w14:val="none"/>
        </w:rPr>
        <w:t xml:space="preserve"> assumption, and monthly survival values are then used throughout the life expectancy calculation.</w:t>
      </w:r>
    </w:p>
    <w:p w14:paraId="51FA2BA4" w14:textId="77777777" w:rsidR="008B3789" w:rsidRPr="008B3789" w:rsidRDefault="008B3789" w:rsidP="008B3789">
      <w:pPr>
        <w:spacing w:before="100" w:beforeAutospacing="1" w:after="100" w:afterAutospacing="1" w:line="300" w:lineRule="atLeast"/>
        <w:rPr>
          <w:rFonts w:ascii="Segoe UI" w:eastAsia="Times New Roman" w:hAnsi="Segoe UI" w:cs="Segoe UI"/>
          <w:kern w:val="0"/>
          <w:sz w:val="21"/>
          <w:szCs w:val="21"/>
          <w14:ligatures w14:val="none"/>
        </w:rPr>
      </w:pPr>
      <w:r w:rsidRPr="008B3789">
        <w:rPr>
          <w:rFonts w:ascii="Segoe UI" w:eastAsia="Times New Roman" w:hAnsi="Segoe UI" w:cs="Segoe UI"/>
          <w:kern w:val="0"/>
          <w:sz w:val="21"/>
          <w:szCs w:val="21"/>
          <w14:ligatures w14:val="none"/>
        </w:rPr>
        <w:t xml:space="preserve">Because the calculation now recognizes survival </w:t>
      </w:r>
      <w:proofErr w:type="gramStart"/>
      <w:r w:rsidRPr="008B3789">
        <w:rPr>
          <w:rFonts w:ascii="Segoe UI" w:eastAsia="Times New Roman" w:hAnsi="Segoe UI" w:cs="Segoe UI"/>
          <w:kern w:val="0"/>
          <w:sz w:val="21"/>
          <w:szCs w:val="21"/>
          <w14:ligatures w14:val="none"/>
        </w:rPr>
        <w:t>on a monthly basis</w:t>
      </w:r>
      <w:proofErr w:type="gramEnd"/>
      <w:r w:rsidRPr="008B3789">
        <w:rPr>
          <w:rFonts w:ascii="Segoe UI" w:eastAsia="Times New Roman" w:hAnsi="Segoe UI" w:cs="Segoe UI"/>
          <w:kern w:val="0"/>
          <w:sz w:val="21"/>
          <w:szCs w:val="21"/>
          <w14:ligatures w14:val="none"/>
        </w:rPr>
        <w:t>, it inherently captures the partial year of life that was previously being approximated through the 0.5-year adjustment. In other words, the purpose of the original adjustment was to compensate for the lack of granularity in an annual calculation. Once the calculation is performed monthly, that limitation largely disappears.</w:t>
      </w:r>
    </w:p>
    <w:p w14:paraId="05691DA8" w14:textId="77777777" w:rsidR="008B3789" w:rsidRPr="008B3789" w:rsidRDefault="008B3789" w:rsidP="008B3789">
      <w:pPr>
        <w:spacing w:before="100" w:beforeAutospacing="1" w:after="100" w:afterAutospacing="1" w:line="300" w:lineRule="atLeast"/>
        <w:rPr>
          <w:rFonts w:ascii="Segoe UI" w:eastAsia="Times New Roman" w:hAnsi="Segoe UI" w:cs="Segoe UI"/>
          <w:kern w:val="0"/>
          <w:sz w:val="21"/>
          <w:szCs w:val="21"/>
          <w14:ligatures w14:val="none"/>
        </w:rPr>
      </w:pPr>
      <w:r w:rsidRPr="008B3789">
        <w:rPr>
          <w:rFonts w:ascii="Segoe UI" w:eastAsia="Times New Roman" w:hAnsi="Segoe UI" w:cs="Segoe UI"/>
          <w:kern w:val="0"/>
          <w:sz w:val="21"/>
          <w:szCs w:val="21"/>
          <w14:ligatures w14:val="none"/>
        </w:rPr>
        <w:t xml:space="preserve">As a result, the </w:t>
      </w:r>
      <w:r w:rsidRPr="008B3789">
        <w:rPr>
          <w:rFonts w:ascii="Segoe UI" w:eastAsia="Times New Roman" w:hAnsi="Segoe UI" w:cs="Segoe UI"/>
          <w:b/>
          <w:bCs/>
          <w:kern w:val="0"/>
          <w:sz w:val="21"/>
          <w:szCs w:val="21"/>
          <w14:ligatures w14:val="none"/>
        </w:rPr>
        <w:t>0.5-year adjustment is no longer appropriate and would overstate life expectancy if retained</w:t>
      </w:r>
      <w:r w:rsidRPr="008B3789">
        <w:rPr>
          <w:rFonts w:ascii="Segoe UI" w:eastAsia="Times New Roman" w:hAnsi="Segoe UI" w:cs="Segoe UI"/>
          <w:kern w:val="0"/>
          <w:sz w:val="21"/>
          <w:szCs w:val="21"/>
          <w14:ligatures w14:val="none"/>
        </w:rPr>
        <w:t xml:space="preserve">. The monthly calculation already reflects the continuous emergence of mortality throughout the year under the constant force assumption. Any remaining difference between the monthly result and </w:t>
      </w:r>
      <w:proofErr w:type="gramStart"/>
      <w:r w:rsidRPr="008B3789">
        <w:rPr>
          <w:rFonts w:ascii="Segoe UI" w:eastAsia="Times New Roman" w:hAnsi="Segoe UI" w:cs="Segoe UI"/>
          <w:kern w:val="0"/>
          <w:sz w:val="21"/>
          <w:szCs w:val="21"/>
          <w14:ligatures w14:val="none"/>
        </w:rPr>
        <w:t>a theoretically</w:t>
      </w:r>
      <w:proofErr w:type="gramEnd"/>
      <w:r w:rsidRPr="008B3789">
        <w:rPr>
          <w:rFonts w:ascii="Segoe UI" w:eastAsia="Times New Roman" w:hAnsi="Segoe UI" w:cs="Segoe UI"/>
          <w:kern w:val="0"/>
          <w:sz w:val="21"/>
          <w:szCs w:val="21"/>
          <w14:ligatures w14:val="none"/>
        </w:rPr>
        <w:t xml:space="preserve"> </w:t>
      </w:r>
      <w:proofErr w:type="gramStart"/>
      <w:r w:rsidRPr="008B3789">
        <w:rPr>
          <w:rFonts w:ascii="Segoe UI" w:eastAsia="Times New Roman" w:hAnsi="Segoe UI" w:cs="Segoe UI"/>
          <w:kern w:val="0"/>
          <w:sz w:val="21"/>
          <w:szCs w:val="21"/>
          <w14:ligatures w14:val="none"/>
        </w:rPr>
        <w:t>continuous-life</w:t>
      </w:r>
      <w:proofErr w:type="gramEnd"/>
      <w:r w:rsidRPr="008B3789">
        <w:rPr>
          <w:rFonts w:ascii="Segoe UI" w:eastAsia="Times New Roman" w:hAnsi="Segoe UI" w:cs="Segoe UI"/>
          <w:kern w:val="0"/>
          <w:sz w:val="21"/>
          <w:szCs w:val="21"/>
          <w14:ligatures w14:val="none"/>
        </w:rPr>
        <w:t xml:space="preserve"> expectancy is extremely small (approximately one-half </w:t>
      </w:r>
      <w:proofErr w:type="gramStart"/>
      <w:r w:rsidRPr="008B3789">
        <w:rPr>
          <w:rFonts w:ascii="Segoe UI" w:eastAsia="Times New Roman" w:hAnsi="Segoe UI" w:cs="Segoe UI"/>
          <w:kern w:val="0"/>
          <w:sz w:val="21"/>
          <w:szCs w:val="21"/>
          <w14:ligatures w14:val="none"/>
        </w:rPr>
        <w:t>month</w:t>
      </w:r>
      <w:proofErr w:type="gramEnd"/>
      <w:r w:rsidRPr="008B3789">
        <w:rPr>
          <w:rFonts w:ascii="Segoe UI" w:eastAsia="Times New Roman" w:hAnsi="Segoe UI" w:cs="Segoe UI"/>
          <w:kern w:val="0"/>
          <w:sz w:val="21"/>
          <w:szCs w:val="21"/>
          <w14:ligatures w14:val="none"/>
        </w:rPr>
        <w:t>, or 0.04 years) and is generally considered immaterial for business purposes.</w:t>
      </w:r>
    </w:p>
    <w:p w14:paraId="2CA358CD" w14:textId="77777777" w:rsidR="008B3789" w:rsidRPr="008B3789" w:rsidRDefault="008B3789" w:rsidP="008B3789">
      <w:pPr>
        <w:spacing w:before="100" w:beforeAutospacing="1" w:after="100" w:afterAutospacing="1" w:line="300" w:lineRule="atLeast"/>
        <w:rPr>
          <w:rFonts w:ascii="Segoe UI" w:eastAsia="Times New Roman" w:hAnsi="Segoe UI" w:cs="Segoe UI"/>
          <w:kern w:val="0"/>
          <w:sz w:val="21"/>
          <w:szCs w:val="21"/>
          <w14:ligatures w14:val="none"/>
        </w:rPr>
      </w:pPr>
      <w:r w:rsidRPr="008B3789">
        <w:rPr>
          <w:rFonts w:ascii="Segoe UI" w:eastAsia="Times New Roman" w:hAnsi="Segoe UI" w:cs="Segoe UI"/>
          <w:kern w:val="0"/>
          <w:sz w:val="21"/>
          <w:szCs w:val="21"/>
          <w14:ligatures w14:val="none"/>
        </w:rPr>
        <w:t>Therefore, the 0.5-year adjustment has been removed because the revised monthly methodology already incorporates the timing of deaths within the year and provides a more accurate estimate of life expectancy than the prior annual approach.</w:t>
      </w:r>
    </w:p>
    <w:p w14:paraId="33DA7842" w14:textId="77777777" w:rsidR="008B3789" w:rsidRDefault="008B3789"/>
    <w:p w14:paraId="1C040F6A" w14:textId="77777777" w:rsidR="00293C20" w:rsidRDefault="00293C20"/>
    <w:p w14:paraId="661D0D5E" w14:textId="77777777" w:rsidR="00293C20" w:rsidRDefault="00293C20"/>
    <w:p w14:paraId="4742338C" w14:textId="77777777" w:rsidR="00293C20" w:rsidRDefault="00293C20"/>
    <w:p w14:paraId="59A209AF" w14:textId="77777777" w:rsidR="00293C20" w:rsidRDefault="00293C20">
      <w:pPr>
        <w:pBdr>
          <w:bottom w:val="double" w:sz="6" w:space="1" w:color="auto"/>
        </w:pBdr>
      </w:pPr>
    </w:p>
    <w:p w14:paraId="0956CE0C" w14:textId="77777777" w:rsidR="00293C20" w:rsidRDefault="00293C20" w:rsidP="00293C20">
      <w:pPr>
        <w:rPr>
          <w:rFonts w:eastAsia="Times New Roman"/>
          <w:color w:val="000000"/>
        </w:rPr>
      </w:pPr>
      <w:r>
        <w:rPr>
          <w:rFonts w:eastAsia="Times New Roman"/>
          <w:color w:val="000000"/>
        </w:rPr>
        <w:lastRenderedPageBreak/>
        <w:t>The actuarial discount is determined by the following factors: the portion of the eligible death benefit accelerated, the cash surrender value of the base policy, any future premiums required to be paid to keep the eligible death benefit in force, any future anticipated dividends for the base policy, the accelerated benefit interest rate in effect, and our determination of the future expected mortality of the qualifying rider insured.</w:t>
      </w:r>
    </w:p>
    <w:p w14:paraId="622B5323" w14:textId="77777777" w:rsidR="00293C20" w:rsidRDefault="00293C20" w:rsidP="00293C20">
      <w:pPr>
        <w:rPr>
          <w:rFonts w:eastAsia="Times New Roman"/>
          <w:color w:val="000000"/>
        </w:rPr>
      </w:pPr>
      <w:r>
        <w:rPr>
          <w:rFonts w:eastAsia="Times New Roman"/>
          <w:color w:val="000000"/>
        </w:rPr>
        <w:t> </w:t>
      </w:r>
    </w:p>
    <w:p w14:paraId="33214912" w14:textId="77777777" w:rsidR="00293C20" w:rsidRDefault="00293C20" w:rsidP="00293C20">
      <w:pPr>
        <w:rPr>
          <w:rFonts w:eastAsia="Times New Roman"/>
          <w:color w:val="000000"/>
        </w:rPr>
      </w:pPr>
      <w:r>
        <w:rPr>
          <w:rFonts w:eastAsia="Times New Roman"/>
          <w:color w:val="000000"/>
        </w:rPr>
        <w:t>In summary, Actuarial Discount = (Amount to Accelerate) – [(Present Value of the Future Death Benefit) – (Present Value of the Future Premiums)].</w:t>
      </w:r>
    </w:p>
    <w:p w14:paraId="1EFD0BD6" w14:textId="77777777" w:rsidR="00293C20" w:rsidRDefault="00293C20" w:rsidP="00293C20">
      <w:pPr>
        <w:rPr>
          <w:rFonts w:eastAsia="Times New Roman"/>
          <w:color w:val="000000"/>
        </w:rPr>
      </w:pPr>
      <w:r>
        <w:rPr>
          <w:rFonts w:eastAsia="Times New Roman"/>
          <w:color w:val="000000"/>
        </w:rPr>
        <w:t> </w:t>
      </w:r>
    </w:p>
    <w:p w14:paraId="6CBBD17A" w14:textId="77777777" w:rsidR="00293C20" w:rsidRDefault="00293C20" w:rsidP="00293C20">
      <w:pPr>
        <w:rPr>
          <w:rFonts w:eastAsia="Times New Roman"/>
          <w:color w:val="000000"/>
        </w:rPr>
      </w:pPr>
      <w:r>
        <w:rPr>
          <w:rFonts w:eastAsia="Times New Roman"/>
          <w:color w:val="000000"/>
        </w:rPr>
        <w:t xml:space="preserve">The higher the Present Value of Future Premiums </w:t>
      </w:r>
      <w:proofErr w:type="gramStart"/>
      <w:r>
        <w:rPr>
          <w:rFonts w:eastAsia="Times New Roman"/>
          <w:color w:val="000000"/>
        </w:rPr>
        <w:t>are</w:t>
      </w:r>
      <w:proofErr w:type="gramEnd"/>
      <w:r>
        <w:rPr>
          <w:rFonts w:eastAsia="Times New Roman"/>
          <w:color w:val="000000"/>
        </w:rPr>
        <w:t>, the higher the Actuarial Discount will be. The Present Value of Future Premiums is determined based on the insured’s future expected mortality. Since the future life expectancy of the modified mortality table is 4.76 years, we expect to receive roughly 4.76 more years of premium on this policy. In addition, the insured has an Annual Renewable Term policy, so the annually increasing premiums would have been significantly higher had there been no modified mortality, further increasing the Actuarial Discount amount that accounts for the present value of the future death benefit.</w:t>
      </w:r>
    </w:p>
    <w:p w14:paraId="7C60331F" w14:textId="77777777" w:rsidR="00293C20" w:rsidRDefault="00293C20" w:rsidP="00293C20">
      <w:pPr>
        <w:rPr>
          <w:rFonts w:eastAsia="Times New Roman"/>
          <w:color w:val="000000"/>
        </w:rPr>
      </w:pPr>
      <w:r>
        <w:rPr>
          <w:rFonts w:eastAsia="Times New Roman"/>
          <w:color w:val="000000"/>
        </w:rPr>
        <w:t> </w:t>
      </w:r>
    </w:p>
    <w:p w14:paraId="11962B91" w14:textId="77777777" w:rsidR="00293C20" w:rsidRDefault="00293C20" w:rsidP="00293C20">
      <w:pPr>
        <w:rPr>
          <w:rFonts w:eastAsia="Times New Roman"/>
          <w:color w:val="000000"/>
        </w:rPr>
      </w:pPr>
      <w:r>
        <w:rPr>
          <w:rFonts w:eastAsia="Times New Roman"/>
          <w:color w:val="000000"/>
        </w:rPr>
        <w:t>PVFB=Present Value of Future Benefits</w:t>
      </w:r>
    </w:p>
    <w:p w14:paraId="49122487" w14:textId="77777777" w:rsidR="00293C20" w:rsidRDefault="00293C20" w:rsidP="00293C20">
      <w:pPr>
        <w:rPr>
          <w:rFonts w:eastAsia="Times New Roman"/>
          <w:color w:val="000000"/>
        </w:rPr>
      </w:pPr>
      <w:r>
        <w:rPr>
          <w:rFonts w:eastAsia="Times New Roman"/>
          <w:color w:val="000000"/>
        </w:rPr>
        <w:t>PVFP=Present Value of Future Premiums</w:t>
      </w:r>
    </w:p>
    <w:p w14:paraId="58103A7D" w14:textId="77777777" w:rsidR="00293C20" w:rsidRDefault="00293C20" w:rsidP="00293C20">
      <w:pPr>
        <w:rPr>
          <w:rFonts w:eastAsia="Times New Roman"/>
          <w:color w:val="000000"/>
        </w:rPr>
      </w:pPr>
      <w:r>
        <w:rPr>
          <w:rFonts w:eastAsia="Times New Roman"/>
          <w:color w:val="000000"/>
        </w:rPr>
        <w:t>PVFD=Present Value of Future Dividends?</w:t>
      </w:r>
    </w:p>
    <w:p w14:paraId="01A0B963" w14:textId="77777777" w:rsidR="00293C20" w:rsidRDefault="00293C20" w:rsidP="00293C20">
      <w:pPr>
        <w:rPr>
          <w:rFonts w:eastAsia="Times New Roman"/>
          <w:color w:val="000000"/>
        </w:rPr>
      </w:pPr>
      <w:r>
        <w:rPr>
          <w:rFonts w:eastAsia="Times New Roman"/>
          <w:color w:val="000000"/>
        </w:rPr>
        <w:t> </w:t>
      </w:r>
    </w:p>
    <w:p w14:paraId="0DF4B4A1" w14:textId="77777777" w:rsidR="00293C20" w:rsidRDefault="00293C20" w:rsidP="00293C20">
      <w:pPr>
        <w:rPr>
          <w:rFonts w:eastAsia="Times New Roman"/>
          <w:color w:val="000000"/>
        </w:rPr>
      </w:pPr>
      <w:r>
        <w:rPr>
          <w:rFonts w:eastAsia="Times New Roman"/>
          <w:color w:val="000000"/>
        </w:rPr>
        <w:t>The higher the rate class the lower the prem per unit therefore they will get a higher payout</w:t>
      </w:r>
    </w:p>
    <w:p w14:paraId="7FC237A9" w14:textId="77777777" w:rsidR="00293C20" w:rsidRDefault="00293C20" w:rsidP="00293C20">
      <w:pPr>
        <w:rPr>
          <w:rFonts w:eastAsia="Times New Roman"/>
          <w:color w:val="000000"/>
        </w:rPr>
      </w:pPr>
      <w:r>
        <w:rPr>
          <w:rFonts w:eastAsia="Times New Roman"/>
          <w:color w:val="000000"/>
        </w:rPr>
        <w:t> </w:t>
      </w:r>
    </w:p>
    <w:p w14:paraId="58DE5C6B" w14:textId="77777777" w:rsidR="00293C20" w:rsidRDefault="00293C20" w:rsidP="00293C20">
      <w:pPr>
        <w:rPr>
          <w:rFonts w:eastAsia="Times New Roman"/>
          <w:color w:val="000000"/>
        </w:rPr>
      </w:pPr>
      <w:r>
        <w:rPr>
          <w:rFonts w:eastAsia="Times New Roman"/>
          <w:color w:val="000000"/>
        </w:rPr>
        <w:t> </w:t>
      </w:r>
    </w:p>
    <w:p w14:paraId="658C6D6E" w14:textId="77777777" w:rsidR="00293C20" w:rsidRDefault="00293C20" w:rsidP="00293C20">
      <w:pPr>
        <w:rPr>
          <w:rFonts w:eastAsia="Times New Roman"/>
          <w:color w:val="000000"/>
        </w:rPr>
      </w:pPr>
      <w:r>
        <w:rPr>
          <w:rFonts w:eastAsia="Times New Roman"/>
          <w:color w:val="000000"/>
        </w:rPr>
        <w:t>Interest Rate - Lower rate will give higher payout, higher rate will give lower payout</w:t>
      </w:r>
    </w:p>
    <w:p w14:paraId="256C0679" w14:textId="77777777" w:rsidR="00293C20" w:rsidRDefault="00293C20"/>
    <w:sectPr w:rsidR="00293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9EE"/>
    <w:rsid w:val="00293C20"/>
    <w:rsid w:val="006119EE"/>
    <w:rsid w:val="008B28FC"/>
    <w:rsid w:val="008B3789"/>
    <w:rsid w:val="0098433E"/>
    <w:rsid w:val="00BD5DDD"/>
    <w:rsid w:val="00DA3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E4561"/>
  <w15:chartTrackingRefBased/>
  <w15:docId w15:val="{4FD1B8F1-BB22-4D2E-9C60-B57C8232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1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9EE"/>
    <w:rPr>
      <w:rFonts w:eastAsiaTheme="majorEastAsia" w:cstheme="majorBidi"/>
      <w:color w:val="272727" w:themeColor="text1" w:themeTint="D8"/>
    </w:rPr>
  </w:style>
  <w:style w:type="paragraph" w:styleId="Title">
    <w:name w:val="Title"/>
    <w:basedOn w:val="Normal"/>
    <w:next w:val="Normal"/>
    <w:link w:val="TitleChar"/>
    <w:uiPriority w:val="10"/>
    <w:qFormat/>
    <w:rsid w:val="00611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9EE"/>
    <w:pPr>
      <w:spacing w:before="160"/>
      <w:jc w:val="center"/>
    </w:pPr>
    <w:rPr>
      <w:i/>
      <w:iCs/>
      <w:color w:val="404040" w:themeColor="text1" w:themeTint="BF"/>
    </w:rPr>
  </w:style>
  <w:style w:type="character" w:customStyle="1" w:styleId="QuoteChar">
    <w:name w:val="Quote Char"/>
    <w:basedOn w:val="DefaultParagraphFont"/>
    <w:link w:val="Quote"/>
    <w:uiPriority w:val="29"/>
    <w:rsid w:val="006119EE"/>
    <w:rPr>
      <w:i/>
      <w:iCs/>
      <w:color w:val="404040" w:themeColor="text1" w:themeTint="BF"/>
    </w:rPr>
  </w:style>
  <w:style w:type="paragraph" w:styleId="ListParagraph">
    <w:name w:val="List Paragraph"/>
    <w:basedOn w:val="Normal"/>
    <w:uiPriority w:val="34"/>
    <w:qFormat/>
    <w:rsid w:val="006119EE"/>
    <w:pPr>
      <w:ind w:left="720"/>
      <w:contextualSpacing/>
    </w:pPr>
  </w:style>
  <w:style w:type="character" w:styleId="IntenseEmphasis">
    <w:name w:val="Intense Emphasis"/>
    <w:basedOn w:val="DefaultParagraphFont"/>
    <w:uiPriority w:val="21"/>
    <w:qFormat/>
    <w:rsid w:val="006119EE"/>
    <w:rPr>
      <w:i/>
      <w:iCs/>
      <w:color w:val="0F4761" w:themeColor="accent1" w:themeShade="BF"/>
    </w:rPr>
  </w:style>
  <w:style w:type="paragraph" w:styleId="IntenseQuote">
    <w:name w:val="Intense Quote"/>
    <w:basedOn w:val="Normal"/>
    <w:next w:val="Normal"/>
    <w:link w:val="IntenseQuoteChar"/>
    <w:uiPriority w:val="30"/>
    <w:qFormat/>
    <w:rsid w:val="00611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9EE"/>
    <w:rPr>
      <w:i/>
      <w:iCs/>
      <w:color w:val="0F4761" w:themeColor="accent1" w:themeShade="BF"/>
    </w:rPr>
  </w:style>
  <w:style w:type="character" w:styleId="IntenseReference">
    <w:name w:val="Intense Reference"/>
    <w:basedOn w:val="DefaultParagraphFont"/>
    <w:uiPriority w:val="32"/>
    <w:qFormat/>
    <w:rsid w:val="006119EE"/>
    <w:rPr>
      <w:b/>
      <w:bCs/>
      <w:smallCaps/>
      <w:color w:val="0F4761" w:themeColor="accent1" w:themeShade="BF"/>
      <w:spacing w:val="5"/>
    </w:rPr>
  </w:style>
  <w:style w:type="paragraph" w:styleId="NormalWeb">
    <w:name w:val="Normal (Web)"/>
    <w:basedOn w:val="Normal"/>
    <w:uiPriority w:val="99"/>
    <w:semiHidden/>
    <w:unhideWhenUsed/>
    <w:rsid w:val="008B37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37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3067</Characters>
  <Application>Microsoft Office Word</Application>
  <DocSecurity>0</DocSecurity>
  <Lines>25</Lines>
  <Paragraphs>7</Paragraphs>
  <ScaleCrop>false</ScaleCrop>
  <Company>American National</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Haessly, Robert</dc:creator>
  <cp:keywords/>
  <dc:description/>
  <cp:lastModifiedBy>Haessly, Robert</cp:lastModifiedBy>
  <cp:revision>3</cp:revision>
  <dcterms:created xsi:type="dcterms:W3CDTF">2026-07-22T17:23:00Z</dcterms:created>
  <dcterms:modified xsi:type="dcterms:W3CDTF">2026-08-17T20:19:00Z</dcterms:modified>
</cp:coreProperties>
</file>