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0B2E4F"/>
          <w:left w:val="single" w:sz="4" w:color="0B2E4F"/>
          <w:bottom w:val="single" w:sz="4" w:color="0B2E4F"/>
          <w:right w:val="single" w:sz="4" w:color="0B2E4F"/>
          <w:insideH w:val="nil"/>
          <w:insideV w:val="nil"/>
        </w:tblBorders>
        <w:tblCellMar>
          <w:top w:w="180" w:type="dxa"/>
          <w:left w:w="260" w:type="dxa"/>
          <w:bottom w:w="180" w:type="dxa"/>
          <w:right w:w="260" w:type="dxa"/>
        </w:tblCellMar>
      </w:tblPr>
      <w:tblGrid>
        <w:gridCol w:w="9866"/>
      </w:tblGrid>
      <w:tr>
        <w:tc>
          <w:tcPr>
            <w:tcW w:type="dxa" w:w="9866"/>
            <w:shd w:val="clear" w:color="auto" w:fill="0B2E4F"/>
          </w:tcPr>
          <w:p>
            <w:r>
              <w:rPr>
                <w:b/>
                <w:i w:val="0"/>
                <w:color w:val="FFFFFF"/>
                <w:sz w:val="44"/>
              </w:rPr>
              <w:t>ETIENNE C.</w:t>
            </w:r>
          </w:p>
          <w:p>
            <w:r>
              <w:rPr>
                <w:b/>
                <w:i w:val="0"/>
                <w:color w:val="FFFFFF"/>
                <w:sz w:val="28"/>
              </w:rPr>
              <w:t>Data Engineer</w:t>
            </w:r>
            <w:r>
              <w:rPr>
                <w:b w:val="0"/>
                <w:i w:val="0"/>
                <w:color w:val="B9D4EE"/>
                <w:sz w:val="24"/>
              </w:rPr>
              <w:t xml:space="preserve">   ·   GCP · BigQuery · dbt · Python</w:t>
            </w:r>
          </w:p>
          <w:p>
            <w:pPr>
              <w:spacing w:before="80"/>
            </w:pPr>
            <w:r>
              <w:rPr>
                <w:b w:val="0"/>
                <w:i/>
                <w:color w:val="DDE7F1"/>
                <w:sz w:val="20"/>
              </w:rPr>
              <w:t>Double compétence data engineering et génie logiciel</w:t>
            </w:r>
          </w:p>
        </w:tc>
      </w:tr>
    </w:tbl>
    <w:p>
      <w:pPr>
        <w:spacing w:before="0" w:after="80"/>
      </w:pPr>
    </w:p>
    <w:tbl>
      <w:tblPr>
        <w:tblW w:type="auto" w:w="0"/>
        <w:tblLook w:firstColumn="1" w:firstRow="1" w:lastColumn="0" w:lastRow="0" w:noHBand="0" w:noVBand="1" w:val="04A0"/>
        <w:tblBorders>
          <w:top w:val="single" w:sz="4" w:color="D5DCE3"/>
          <w:left w:val="single" w:sz="4" w:color="D5DCE3"/>
          <w:bottom w:val="single" w:sz="4" w:color="D5DCE3"/>
          <w:right w:val="single" w:sz="4" w:color="D5DCE3"/>
          <w:insideH w:val="single" w:sz="4" w:color="D5DCE3"/>
          <w:insideV w:val="single" w:sz="4" w:color="D5DCE3"/>
        </w:tblBorders>
        <w:tblLayout w:type="fixed"/>
        <w:tblCellMar>
          <w:top w:w="40" w:type="dxa"/>
          <w:left w:w="100" w:type="dxa"/>
          <w:bottom w:w="40" w:type="dxa"/>
          <w:right w:w="100" w:type="dxa"/>
        </w:tblCellMar>
      </w:tblPr>
      <w:tblGrid>
        <w:gridCol w:w="2041"/>
        <w:gridCol w:w="7824"/>
      </w:tblGrid>
      <w:tr>
        <w:tc>
          <w:tcPr>
            <w:tcW w:type="dxa" w:w="2041"/>
            <w:shd w:val="clear" w:color="auto" w:fill="EEF3F8"/>
          </w:tcPr>
          <w:p>
            <w:r>
              <w:rPr>
                <w:b/>
                <w:i w:val="0"/>
                <w:color w:val="0B2E4F"/>
                <w:sz w:val="19"/>
              </w:rPr>
              <w:t>Expérience</w:t>
            </w:r>
          </w:p>
        </w:tc>
        <w:tc>
          <w:tcPr>
            <w:tcW w:type="dxa" w:w="7824"/>
          </w:tcPr>
          <w:p>
            <w:r>
              <w:rPr>
                <w:b w:val="0"/>
                <w:i w:val="0"/>
                <w:sz w:val="19"/>
              </w:rPr>
              <w:t>4 ans, dont 3 en alternance</w:t>
            </w:r>
          </w:p>
        </w:tc>
      </w:tr>
      <w:tr>
        <w:tc>
          <w:tcPr>
            <w:tcW w:type="dxa" w:w="2041"/>
            <w:shd w:val="clear" w:color="auto" w:fill="EEF3F8"/>
          </w:tcPr>
          <w:p>
            <w:r>
              <w:rPr>
                <w:b/>
                <w:i w:val="0"/>
                <w:color w:val="0B2E4F"/>
                <w:sz w:val="19"/>
              </w:rPr>
              <w:t>Disponibilité</w:t>
            </w:r>
          </w:p>
        </w:tc>
        <w:tc>
          <w:tcPr>
            <w:tcW w:type="dxa" w:w="7824"/>
          </w:tcPr>
          <w:p>
            <w:r>
              <w:rPr>
                <w:b w:val="0"/>
                <w:i w:val="0"/>
                <w:sz w:val="19"/>
              </w:rPr>
              <w:t>Janvier 2027</w:t>
            </w:r>
          </w:p>
        </w:tc>
      </w:tr>
      <w:tr>
        <w:tc>
          <w:tcPr>
            <w:tcW w:type="dxa" w:w="2041"/>
            <w:shd w:val="clear" w:color="auto" w:fill="EEF3F8"/>
          </w:tcPr>
          <w:p>
            <w:r>
              <w:rPr>
                <w:b/>
                <w:i w:val="0"/>
                <w:color w:val="0B2E4F"/>
                <w:sz w:val="19"/>
              </w:rPr>
              <w:t>Mobilité</w:t>
            </w:r>
          </w:p>
        </w:tc>
        <w:tc>
          <w:tcPr>
            <w:tcW w:type="dxa" w:w="7824"/>
          </w:tcPr>
          <w:p>
            <w:r>
              <w:rPr>
                <w:b w:val="0"/>
                <w:i w:val="0"/>
                <w:sz w:val="19"/>
              </w:rPr>
              <w:t>Grand Ouest en priorité, ouvert sur toute la France</w:t>
            </w:r>
          </w:p>
        </w:tc>
      </w:tr>
      <w:tr>
        <w:tc>
          <w:tcPr>
            <w:tcW w:type="dxa" w:w="2041"/>
            <w:shd w:val="clear" w:color="auto" w:fill="EEF3F8"/>
          </w:tcPr>
          <w:p>
            <w:r>
              <w:rPr>
                <w:b/>
                <w:i w:val="0"/>
                <w:color w:val="0B2E4F"/>
                <w:sz w:val="19"/>
              </w:rPr>
              <w:t>Mode de travail</w:t>
            </w:r>
          </w:p>
        </w:tc>
        <w:tc>
          <w:tcPr>
            <w:tcW w:type="dxa" w:w="7824"/>
          </w:tcPr>
          <w:p>
            <w:r>
              <w:rPr>
                <w:b w:val="0"/>
                <w:i w:val="0"/>
                <w:sz w:val="19"/>
              </w:rPr>
              <w:t>Hybride ou full remote, présentiel possible</w:t>
            </w:r>
          </w:p>
        </w:tc>
      </w:tr>
      <w:tr>
        <w:tc>
          <w:tcPr>
            <w:tcW w:type="dxa" w:w="2041"/>
            <w:shd w:val="clear" w:color="auto" w:fill="EEF3F8"/>
          </w:tcPr>
          <w:p>
            <w:r>
              <w:rPr>
                <w:b/>
                <w:i w:val="0"/>
                <w:color w:val="0B2E4F"/>
                <w:sz w:val="19"/>
              </w:rPr>
              <w:t>Langues</w:t>
            </w:r>
          </w:p>
        </w:tc>
        <w:tc>
          <w:tcPr>
            <w:tcW w:type="dxa" w:w="7824"/>
          </w:tcPr>
          <w:p>
            <w:r>
              <w:rPr>
                <w:b w:val="0"/>
                <w:i w:val="0"/>
                <w:sz w:val="19"/>
              </w:rPr>
              <w:t>Français natif · Anglais professionnel (TOEIC 880/990)</w:t>
            </w:r>
          </w:p>
        </w:tc>
      </w:tr>
      <w:tr>
        <w:tc>
          <w:tcPr>
            <w:tcW w:type="dxa" w:w="2041"/>
            <w:shd w:val="clear" w:color="auto" w:fill="EEF3F8"/>
          </w:tcPr>
          <w:p>
            <w:r>
              <w:rPr>
                <w:b/>
                <w:i w:val="0"/>
                <w:color w:val="0B2E4F"/>
                <w:sz w:val="19"/>
              </w:rPr>
              <w:t>Certification</w:t>
            </w:r>
          </w:p>
        </w:tc>
        <w:tc>
          <w:tcPr>
            <w:tcW w:type="dxa" w:w="7824"/>
          </w:tcPr>
          <w:p>
            <w:r>
              <w:rPr>
                <w:b w:val="0"/>
                <w:i w:val="0"/>
                <w:sz w:val="19"/>
              </w:rPr>
              <w:t>Google Cloud Digital Leader · Professional Data Engineer en préparation</w:t>
            </w:r>
          </w:p>
        </w:tc>
      </w:tr>
    </w:tbl>
    <w:p>
      <w:pPr>
        <w:spacing w:before="240" w:after="100"/>
        <w:keepNext/>
        <w:pBdr>
          <w:bottom w:val="single" w:sz="8" w:space="2" w:color="1F6FB2"/>
        </w:pBdr>
      </w:pPr>
      <w:r>
        <w:rPr>
          <w:b/>
          <w:i w:val="0"/>
          <w:color w:val="0B2E4F"/>
          <w:sz w:val="24"/>
        </w:rPr>
        <w:t>SYNTHÈSE DU PROFIL</w:t>
      </w:r>
    </w:p>
    <w:p>
      <w:pPr>
        <w:spacing w:before="0" w:after="80"/>
      </w:pPr>
      <w:r>
        <w:rPr>
          <w:b w:val="0"/>
          <w:i w:val="0"/>
        </w:rPr>
        <w:t>Ingénieur ESIEA, trois ans d'alternance chez Bouygues Telecom entre développement applicatif et équipe data, puis Data Engineer chez papernest à Barcelone : seul Data Engineer sur site pour les marchés français, espagnol et italien, en charge du moteur ETL interne en Python et des modèles dbt sur BigQuery, avec les standards du génie logiciel (tests, documentation, CI/CD). Recherche une mission de construction ou de fiabilisation de plateforme data, idéalement sur GCP.</w:t>
      </w:r>
    </w:p>
    <w:p>
      <w:pPr>
        <w:keepNext/>
        <w:spacing w:before="100" w:after="40"/>
      </w:pPr>
      <w:r>
        <w:rPr>
          <w:b/>
          <w:i w:val="0"/>
          <w:color w:val="1F6FB2"/>
          <w:sz w:val="20"/>
        </w:rPr>
        <w:t>Points forts</w:t>
      </w:r>
    </w:p>
    <w:p>
      <w:pPr>
        <w:pStyle w:val="ListBullet"/>
        <w:spacing w:after="40"/>
        <w:ind w:left="340" w:hanging="227"/>
      </w:pPr>
      <w:r>
        <w:rPr>
          <w:b/>
          <w:i w:val="0"/>
          <w:sz w:val="20"/>
        </w:rPr>
        <w:t xml:space="preserve">Double compétence : </w:t>
      </w:r>
      <w:r>
        <w:rPr>
          <w:b w:val="0"/>
          <w:i w:val="0"/>
          <w:sz w:val="20"/>
        </w:rPr>
        <w:t>pipelines Python et dbt sur BigQuery, et outils internes full-stack (React, Next.js, Spring Boot) pour les équipes métier.</w:t>
      </w:r>
    </w:p>
    <w:p>
      <w:pPr>
        <w:pStyle w:val="ListBullet"/>
        <w:spacing w:after="40"/>
        <w:ind w:left="340" w:hanging="227"/>
      </w:pPr>
      <w:r>
        <w:rPr>
          <w:b/>
          <w:i w:val="0"/>
          <w:sz w:val="20"/>
        </w:rPr>
        <w:t xml:space="preserve">Fiabilité de la donnée : </w:t>
      </w:r>
      <w:r>
        <w:rPr>
          <w:b w:val="0"/>
          <w:i w:val="0"/>
          <w:sz w:val="20"/>
        </w:rPr>
        <w:t>data contracts, validation de schéma, tests dbt et alerting pour détecter les anomalies en amont.</w:t>
      </w:r>
    </w:p>
    <w:p>
      <w:pPr>
        <w:pStyle w:val="ListBullet"/>
        <w:spacing w:after="40"/>
        <w:ind w:left="340" w:hanging="227"/>
      </w:pPr>
      <w:r>
        <w:rPr>
          <w:b/>
          <w:i w:val="0"/>
          <w:sz w:val="20"/>
        </w:rPr>
        <w:t xml:space="preserve">Autonomie et relation métier : </w:t>
      </w:r>
      <w:r>
        <w:rPr>
          <w:b w:val="0"/>
          <w:i w:val="0"/>
          <w:sz w:val="20"/>
        </w:rPr>
        <w:t>seul Data Engineer sur site, interlocuteur direct des équipes Sales Ops et Partnership sur trois marchés.</w:t>
      </w:r>
    </w:p>
    <w:p>
      <w:pPr>
        <w:pStyle w:val="ListBullet"/>
        <w:spacing w:after="40"/>
        <w:ind w:left="340" w:hanging="227"/>
      </w:pPr>
      <w:r>
        <w:rPr>
          <w:b/>
          <w:i w:val="0"/>
          <w:sz w:val="20"/>
        </w:rPr>
        <w:t xml:space="preserve">Résultats mesurés : </w:t>
      </w:r>
      <w:r>
        <w:rPr>
          <w:b w:val="0"/>
          <w:i w:val="0"/>
          <w:sz w:val="20"/>
        </w:rPr>
        <w:t>éditeur de configuration YAML qui a réduit de ~50 % le temps de fabrication des pipelines et fait passer l'investigation d'incidents de 30–60 min à moins de 2 min.</w:t>
      </w:r>
    </w:p>
    <w:p>
      <w:pPr>
        <w:spacing w:before="240" w:after="100"/>
        <w:keepNext/>
        <w:pBdr>
          <w:bottom w:val="single" w:sz="8" w:space="2" w:color="1F6FB2"/>
        </w:pBdr>
      </w:pPr>
      <w:r>
        <w:rPr>
          <w:b/>
          <w:i w:val="0"/>
          <w:color w:val="0B2E4F"/>
          <w:sz w:val="24"/>
        </w:rPr>
        <w:t>COMPÉTENCES TECHNIQUES</w:t>
      </w:r>
    </w:p>
    <w:tbl>
      <w:tblPr>
        <w:tblW w:type="auto" w:w="0"/>
        <w:tblLook w:firstColumn="1" w:firstRow="1" w:lastColumn="0" w:lastRow="0" w:noHBand="0" w:noVBand="1" w:val="04A0"/>
        <w:tblBorders>
          <w:top w:val="single" w:sz="4" w:color="D5DCE3"/>
          <w:left w:val="single" w:sz="4" w:color="D5DCE3"/>
          <w:bottom w:val="single" w:sz="4" w:color="D5DCE3"/>
          <w:right w:val="single" w:sz="4" w:color="D5DCE3"/>
          <w:insideH w:val="single" w:sz="4" w:color="D5DCE3"/>
          <w:insideV w:val="single" w:sz="4" w:color="D5DCE3"/>
        </w:tblBorders>
        <w:tblLayout w:type="fixed"/>
        <w:tblCellMar>
          <w:top w:w="35" w:type="dxa"/>
          <w:left w:w="100" w:type="dxa"/>
          <w:bottom w:w="35" w:type="dxa"/>
          <w:right w:w="100" w:type="dxa"/>
        </w:tblCellMar>
      </w:tblPr>
      <w:tblGrid>
        <w:gridCol w:w="3742"/>
        <w:gridCol w:w="1474"/>
        <w:gridCol w:w="4649"/>
      </w:tblGrid>
      <w:tr>
        <w:tc>
          <w:tcPr>
            <w:tcW w:type="dxa" w:w="3742"/>
            <w:shd w:val="clear" w:color="auto" w:fill="0B2E4F"/>
          </w:tcPr>
          <w:p>
            <w:r>
              <w:rPr>
                <w:b/>
                <w:i w:val="0"/>
                <w:color w:val="FFFFFF"/>
                <w:sz w:val="19"/>
              </w:rPr>
              <w:t>Compétence</w:t>
            </w:r>
          </w:p>
        </w:tc>
        <w:tc>
          <w:tcPr>
            <w:tcW w:type="dxa" w:w="1474"/>
            <w:shd w:val="clear" w:color="auto" w:fill="0B2E4F"/>
          </w:tcPr>
          <w:p>
            <w:r>
              <w:rPr>
                <w:b/>
                <w:i w:val="0"/>
                <w:color w:val="FFFFFF"/>
                <w:sz w:val="19"/>
              </w:rPr>
              <w:t>Niveau</w:t>
            </w:r>
          </w:p>
        </w:tc>
        <w:tc>
          <w:tcPr>
            <w:tcW w:type="dxa" w:w="4649"/>
            <w:shd w:val="clear" w:color="auto" w:fill="0B2E4F"/>
          </w:tcPr>
          <w:p>
            <w:r>
              <w:rPr>
                <w:b/>
                <w:i w:val="0"/>
                <w:color w:val="FFFFFF"/>
                <w:sz w:val="19"/>
              </w:rPr>
              <w:t>Contexte de pratique</w:t>
            </w:r>
          </w:p>
        </w:tc>
      </w:tr>
      <w:tr>
        <w:tc>
          <w:tcPr>
            <w:tcW w:type="dxa" w:w="4649"/>
            <w:gridSpan w:val="3"/>
            <w:shd w:val="clear" w:color="auto" w:fill="EEF3F8"/>
          </w:tcPr>
          <w:p>
            <w:r>
              <w:rPr>
                <w:b/>
                <w:i w:val="0"/>
                <w:color w:val="0B2E4F"/>
                <w:sz w:val="19"/>
              </w:rPr>
              <w:t>Data engineering</w:t>
            </w:r>
          </w:p>
        </w:tc>
      </w:tr>
      <w:tr>
        <w:tc>
          <w:tcPr>
            <w:tcW w:type="dxa" w:w="3742"/>
          </w:tcPr>
          <w:p>
            <w:r>
              <w:rPr>
                <w:b w:val="0"/>
                <w:i w:val="0"/>
                <w:color w:val="1E252D"/>
                <w:sz w:val="19"/>
              </w:rPr>
              <w:t>SQL, BigQuery</w:t>
            </w:r>
          </w:p>
        </w:tc>
        <w:tc>
          <w:tcPr>
            <w:tcW w:type="dxa" w:w="1474"/>
          </w:tcPr>
          <w:p>
            <w:r>
              <w:rPr>
                <w:b/>
                <w:i w:val="0"/>
                <w:color w:val="1F6FB2"/>
                <w:sz w:val="19"/>
              </w:rPr>
              <w:t>Confirmé</w:t>
            </w:r>
          </w:p>
        </w:tc>
        <w:tc>
          <w:tcPr>
            <w:tcW w:type="dxa" w:w="4649"/>
          </w:tcPr>
          <w:p>
            <w:r>
              <w:rPr>
                <w:b w:val="0"/>
                <w:i w:val="0"/>
                <w:color w:val="1E252D"/>
                <w:sz w:val="19"/>
              </w:rPr>
              <w:t>Bouygues Telecom puis papernest, depuis 2022</w:t>
            </w:r>
          </w:p>
        </w:tc>
      </w:tr>
      <w:tr>
        <w:tc>
          <w:tcPr>
            <w:tcW w:type="dxa" w:w="3742"/>
          </w:tcPr>
          <w:p>
            <w:r>
              <w:rPr>
                <w:b w:val="0"/>
                <w:i w:val="0"/>
                <w:color w:val="1E252D"/>
                <w:sz w:val="19"/>
              </w:rPr>
              <w:t>dbt (modélisation, tests, documentation)</w:t>
            </w:r>
          </w:p>
        </w:tc>
        <w:tc>
          <w:tcPr>
            <w:tcW w:type="dxa" w:w="1474"/>
          </w:tcPr>
          <w:p>
            <w:r>
              <w:rPr>
                <w:b/>
                <w:i w:val="0"/>
                <w:color w:val="1F6FB2"/>
                <w:sz w:val="19"/>
              </w:rPr>
              <w:t>Confirmé</w:t>
            </w:r>
          </w:p>
        </w:tc>
        <w:tc>
          <w:tcPr>
            <w:tcW w:type="dxa" w:w="4649"/>
          </w:tcPr>
          <w:p>
            <w:r>
              <w:rPr>
                <w:b w:val="0"/>
                <w:i w:val="0"/>
                <w:color w:val="1E252D"/>
                <w:sz w:val="19"/>
              </w:rPr>
              <w:t>papernest, au quotidien</w:t>
            </w:r>
          </w:p>
        </w:tc>
      </w:tr>
      <w:tr>
        <w:tc>
          <w:tcPr>
            <w:tcW w:type="dxa" w:w="3742"/>
          </w:tcPr>
          <w:p>
            <w:r>
              <w:rPr>
                <w:b w:val="0"/>
                <w:i w:val="0"/>
                <w:color w:val="1E252D"/>
                <w:sz w:val="19"/>
              </w:rPr>
              <w:t>Python (moteur ETL, outillage)</w:t>
            </w:r>
          </w:p>
        </w:tc>
        <w:tc>
          <w:tcPr>
            <w:tcW w:type="dxa" w:w="1474"/>
          </w:tcPr>
          <w:p>
            <w:r>
              <w:rPr>
                <w:b/>
                <w:i w:val="0"/>
                <w:color w:val="1F6FB2"/>
                <w:sz w:val="19"/>
              </w:rPr>
              <w:t>Confirmé</w:t>
            </w:r>
          </w:p>
        </w:tc>
        <w:tc>
          <w:tcPr>
            <w:tcW w:type="dxa" w:w="4649"/>
          </w:tcPr>
          <w:p>
            <w:r>
              <w:rPr>
                <w:b w:val="0"/>
                <w:i w:val="0"/>
                <w:color w:val="1E252D"/>
                <w:sz w:val="19"/>
              </w:rPr>
              <w:t>papernest, au quotidien</w:t>
            </w:r>
          </w:p>
        </w:tc>
      </w:tr>
      <w:tr>
        <w:tc>
          <w:tcPr>
            <w:tcW w:type="dxa" w:w="3742"/>
          </w:tcPr>
          <w:p>
            <w:r>
              <w:rPr>
                <w:b w:val="0"/>
                <w:i w:val="0"/>
                <w:color w:val="1E252D"/>
                <w:sz w:val="19"/>
              </w:rPr>
              <w:t>Data contracts, validation de schéma, alerting</w:t>
            </w:r>
          </w:p>
        </w:tc>
        <w:tc>
          <w:tcPr>
            <w:tcW w:type="dxa" w:w="1474"/>
          </w:tcPr>
          <w:p>
            <w:r>
              <w:rPr>
                <w:b/>
                <w:i w:val="0"/>
                <w:color w:val="1F6FB2"/>
                <w:sz w:val="19"/>
              </w:rPr>
              <w:t>Confirmé</w:t>
            </w:r>
          </w:p>
        </w:tc>
        <w:tc>
          <w:tcPr>
            <w:tcW w:type="dxa" w:w="4649"/>
          </w:tcPr>
          <w:p>
            <w:r>
              <w:rPr>
                <w:b w:val="0"/>
                <w:i w:val="0"/>
                <w:color w:val="1E252D"/>
                <w:sz w:val="19"/>
              </w:rPr>
              <w:t>papernest</w:t>
            </w:r>
          </w:p>
        </w:tc>
      </w:tr>
      <w:tr>
        <w:tc>
          <w:tcPr>
            <w:tcW w:type="dxa" w:w="3742"/>
          </w:tcPr>
          <w:p>
            <w:r>
              <w:rPr>
                <w:b w:val="0"/>
                <w:i w:val="0"/>
                <w:color w:val="1E252D"/>
                <w:sz w:val="19"/>
              </w:rPr>
              <w:t>Apache Flink SQL (streaming)</w:t>
            </w:r>
          </w:p>
        </w:tc>
        <w:tc>
          <w:tcPr>
            <w:tcW w:type="dxa" w:w="1474"/>
          </w:tcPr>
          <w:p>
            <w:r>
              <w:rPr>
                <w:b/>
                <w:i w:val="0"/>
                <w:color w:val="1F6FB2"/>
                <w:sz w:val="19"/>
              </w:rPr>
              <w:t>Opérationnel</w:t>
            </w:r>
          </w:p>
        </w:tc>
        <w:tc>
          <w:tcPr>
            <w:tcW w:type="dxa" w:w="4649"/>
          </w:tcPr>
          <w:p>
            <w:r>
              <w:rPr>
                <w:b w:val="0"/>
                <w:i w:val="0"/>
                <w:color w:val="1E252D"/>
                <w:sz w:val="19"/>
              </w:rPr>
              <w:t>Bouygues Telecom, 3 ans</w:t>
            </w:r>
          </w:p>
        </w:tc>
      </w:tr>
      <w:tr>
        <w:tc>
          <w:tcPr>
            <w:tcW w:type="dxa" w:w="3742"/>
          </w:tcPr>
          <w:p>
            <w:r>
              <w:rPr>
                <w:b w:val="0"/>
                <w:i w:val="0"/>
                <w:color w:val="1E252D"/>
                <w:sz w:val="19"/>
              </w:rPr>
              <w:t>Teradata, Hadoop</w:t>
            </w:r>
          </w:p>
        </w:tc>
        <w:tc>
          <w:tcPr>
            <w:tcW w:type="dxa" w:w="1474"/>
          </w:tcPr>
          <w:p>
            <w:r>
              <w:rPr>
                <w:b/>
                <w:i w:val="0"/>
                <w:color w:val="1F6FB2"/>
                <w:sz w:val="19"/>
              </w:rPr>
              <w:t>Opérationnel</w:t>
            </w:r>
          </w:p>
        </w:tc>
        <w:tc>
          <w:tcPr>
            <w:tcW w:type="dxa" w:w="4649"/>
          </w:tcPr>
          <w:p>
            <w:r>
              <w:rPr>
                <w:b w:val="0"/>
                <w:i w:val="0"/>
                <w:color w:val="1E252D"/>
                <w:sz w:val="19"/>
              </w:rPr>
              <w:t>Bouygues Telecom, scripts de gouvernance</w:t>
            </w:r>
          </w:p>
        </w:tc>
      </w:tr>
      <w:tr>
        <w:tc>
          <w:tcPr>
            <w:tcW w:type="dxa" w:w="3742"/>
          </w:tcPr>
          <w:p>
            <w:r>
              <w:rPr>
                <w:b w:val="0"/>
                <w:i w:val="0"/>
                <w:color w:val="1E252D"/>
                <w:sz w:val="19"/>
              </w:rPr>
              <w:t>ElasticSearch, MongoDB</w:t>
            </w:r>
          </w:p>
        </w:tc>
        <w:tc>
          <w:tcPr>
            <w:tcW w:type="dxa" w:w="1474"/>
          </w:tcPr>
          <w:p>
            <w:r>
              <w:rPr>
                <w:b/>
                <w:i w:val="0"/>
                <w:color w:val="1F6FB2"/>
                <w:sz w:val="19"/>
              </w:rPr>
              <w:t>Opérationnel</w:t>
            </w:r>
          </w:p>
        </w:tc>
        <w:tc>
          <w:tcPr>
            <w:tcW w:type="dxa" w:w="4649"/>
          </w:tcPr>
          <w:p>
            <w:r>
              <w:rPr>
                <w:b w:val="0"/>
                <w:i w:val="0"/>
                <w:color w:val="1E252D"/>
                <w:sz w:val="19"/>
              </w:rPr>
              <w:t>Bouygues Telecom, plateforme d'analyse de logs</w:t>
            </w:r>
          </w:p>
        </w:tc>
      </w:tr>
      <w:tr>
        <w:tc>
          <w:tcPr>
            <w:tcW w:type="dxa" w:w="4649"/>
            <w:gridSpan w:val="3"/>
            <w:shd w:val="clear" w:color="auto" w:fill="EEF3F8"/>
          </w:tcPr>
          <w:p>
            <w:r>
              <w:rPr>
                <w:b/>
                <w:i w:val="0"/>
                <w:color w:val="0B2E4F"/>
                <w:sz w:val="19"/>
              </w:rPr>
              <w:t>Cloud et DevOps</w:t>
            </w:r>
          </w:p>
        </w:tc>
      </w:tr>
      <w:tr>
        <w:tc>
          <w:tcPr>
            <w:tcW w:type="dxa" w:w="3742"/>
          </w:tcPr>
          <w:p>
            <w:r>
              <w:rPr>
                <w:b w:val="0"/>
                <w:i w:val="0"/>
                <w:color w:val="1E252D"/>
                <w:sz w:val="19"/>
              </w:rPr>
              <w:t>Google Cloud Platform</w:t>
            </w:r>
          </w:p>
        </w:tc>
        <w:tc>
          <w:tcPr>
            <w:tcW w:type="dxa" w:w="1474"/>
          </w:tcPr>
          <w:p>
            <w:r>
              <w:rPr>
                <w:b/>
                <w:i w:val="0"/>
                <w:color w:val="1F6FB2"/>
                <w:sz w:val="19"/>
              </w:rPr>
              <w:t>Opérationnel</w:t>
            </w:r>
          </w:p>
        </w:tc>
        <w:tc>
          <w:tcPr>
            <w:tcW w:type="dxa" w:w="4649"/>
          </w:tcPr>
          <w:p>
            <w:r>
              <w:rPr>
                <w:b w:val="0"/>
                <w:i w:val="0"/>
                <w:color w:val="1E252D"/>
                <w:sz w:val="19"/>
              </w:rPr>
              <w:t>BigQuery en production · certifié Cloud Digital Leader</w:t>
            </w:r>
          </w:p>
        </w:tc>
      </w:tr>
      <w:tr>
        <w:tc>
          <w:tcPr>
            <w:tcW w:type="dxa" w:w="3742"/>
          </w:tcPr>
          <w:p>
            <w:r>
              <w:rPr>
                <w:b w:val="0"/>
                <w:i w:val="0"/>
                <w:color w:val="1E252D"/>
                <w:sz w:val="19"/>
              </w:rPr>
              <w:t>Git, CI/CD, GitHub Actions</w:t>
            </w:r>
          </w:p>
        </w:tc>
        <w:tc>
          <w:tcPr>
            <w:tcW w:type="dxa" w:w="1474"/>
          </w:tcPr>
          <w:p>
            <w:r>
              <w:rPr>
                <w:b/>
                <w:i w:val="0"/>
                <w:color w:val="1F6FB2"/>
                <w:sz w:val="19"/>
              </w:rPr>
              <w:t>Confirmé</w:t>
            </w:r>
          </w:p>
        </w:tc>
        <w:tc>
          <w:tcPr>
            <w:tcW w:type="dxa" w:w="4649"/>
          </w:tcPr>
          <w:p>
            <w:r>
              <w:rPr>
                <w:b w:val="0"/>
                <w:i w:val="0"/>
                <w:color w:val="1E252D"/>
                <w:sz w:val="19"/>
              </w:rPr>
              <w:t>missions et projets personnels</w:t>
            </w:r>
          </w:p>
        </w:tc>
      </w:tr>
      <w:tr>
        <w:tc>
          <w:tcPr>
            <w:tcW w:type="dxa" w:w="3742"/>
          </w:tcPr>
          <w:p>
            <w:r>
              <w:rPr>
                <w:b w:val="0"/>
                <w:i w:val="0"/>
                <w:color w:val="1E252D"/>
                <w:sz w:val="19"/>
              </w:rPr>
              <w:t>Docker, Linux, Caddy</w:t>
            </w:r>
          </w:p>
        </w:tc>
        <w:tc>
          <w:tcPr>
            <w:tcW w:type="dxa" w:w="1474"/>
          </w:tcPr>
          <w:p>
            <w:r>
              <w:rPr>
                <w:b/>
                <w:i w:val="0"/>
                <w:color w:val="1F6FB2"/>
                <w:sz w:val="19"/>
              </w:rPr>
              <w:t>Opérationnel</w:t>
            </w:r>
          </w:p>
        </w:tc>
        <w:tc>
          <w:tcPr>
            <w:tcW w:type="dxa" w:w="4649"/>
          </w:tcPr>
          <w:p>
            <w:r>
              <w:rPr>
                <w:b w:val="0"/>
                <w:i w:val="0"/>
                <w:color w:val="1E252D"/>
                <w:sz w:val="19"/>
              </w:rPr>
              <w:t>services auto-hébergés sur VPS</w:t>
            </w:r>
          </w:p>
        </w:tc>
      </w:tr>
      <w:tr>
        <w:tc>
          <w:tcPr>
            <w:tcW w:type="dxa" w:w="4649"/>
            <w:gridSpan w:val="3"/>
            <w:shd w:val="clear" w:color="auto" w:fill="EEF3F8"/>
          </w:tcPr>
          <w:p>
            <w:r>
              <w:rPr>
                <w:b/>
                <w:i w:val="0"/>
                <w:color w:val="0B2E4F"/>
                <w:sz w:val="19"/>
              </w:rPr>
              <w:t>Développement et IA</w:t>
            </w:r>
          </w:p>
        </w:tc>
      </w:tr>
      <w:tr>
        <w:tc>
          <w:tcPr>
            <w:tcW w:type="dxa" w:w="3742"/>
          </w:tcPr>
          <w:p>
            <w:r>
              <w:rPr>
                <w:b w:val="0"/>
                <w:i w:val="0"/>
                <w:color w:val="1E252D"/>
                <w:sz w:val="19"/>
              </w:rPr>
              <w:t>TypeScript, React, Next.js</w:t>
            </w:r>
          </w:p>
        </w:tc>
        <w:tc>
          <w:tcPr>
            <w:tcW w:type="dxa" w:w="1474"/>
          </w:tcPr>
          <w:p>
            <w:r>
              <w:rPr>
                <w:b/>
                <w:i w:val="0"/>
                <w:color w:val="1F6FB2"/>
                <w:sz w:val="19"/>
              </w:rPr>
              <w:t>Confirmé</w:t>
            </w:r>
          </w:p>
        </w:tc>
        <w:tc>
          <w:tcPr>
            <w:tcW w:type="dxa" w:w="4649"/>
          </w:tcPr>
          <w:p>
            <w:r>
              <w:rPr>
                <w:b w:val="0"/>
                <w:i w:val="0"/>
                <w:color w:val="1E252D"/>
                <w:sz w:val="19"/>
              </w:rPr>
              <w:t>papernest (éditeur YAML), Bouygues Telecom</w:t>
            </w:r>
          </w:p>
        </w:tc>
      </w:tr>
      <w:tr>
        <w:tc>
          <w:tcPr>
            <w:tcW w:type="dxa" w:w="3742"/>
          </w:tcPr>
          <w:p>
            <w:r>
              <w:rPr>
                <w:b w:val="0"/>
                <w:i w:val="0"/>
                <w:color w:val="1E252D"/>
                <w:sz w:val="19"/>
              </w:rPr>
              <w:t>Java, Spring Boot</w:t>
            </w:r>
          </w:p>
        </w:tc>
        <w:tc>
          <w:tcPr>
            <w:tcW w:type="dxa" w:w="1474"/>
          </w:tcPr>
          <w:p>
            <w:r>
              <w:rPr>
                <w:b/>
                <w:i w:val="0"/>
                <w:color w:val="1F6FB2"/>
                <w:sz w:val="19"/>
              </w:rPr>
              <w:t>Opérationnel</w:t>
            </w:r>
          </w:p>
        </w:tc>
        <w:tc>
          <w:tcPr>
            <w:tcW w:type="dxa" w:w="4649"/>
          </w:tcPr>
          <w:p>
            <w:r>
              <w:rPr>
                <w:b w:val="0"/>
                <w:i w:val="0"/>
                <w:color w:val="1E252D"/>
                <w:sz w:val="19"/>
              </w:rPr>
              <w:t>Bouygues Telecom, stage Ag2ir</w:t>
            </w:r>
          </w:p>
        </w:tc>
      </w:tr>
      <w:tr>
        <w:tc>
          <w:tcPr>
            <w:tcW w:type="dxa" w:w="3742"/>
          </w:tcPr>
          <w:p>
            <w:r>
              <w:rPr>
                <w:b w:val="0"/>
                <w:i w:val="0"/>
                <w:color w:val="1E252D"/>
                <w:sz w:val="19"/>
              </w:rPr>
              <w:t>APIs LLM, prompt engineering</w:t>
            </w:r>
          </w:p>
        </w:tc>
        <w:tc>
          <w:tcPr>
            <w:tcW w:type="dxa" w:w="1474"/>
          </w:tcPr>
          <w:p>
            <w:r>
              <w:rPr>
                <w:b/>
                <w:i w:val="0"/>
                <w:color w:val="1F6FB2"/>
                <w:sz w:val="19"/>
              </w:rPr>
              <w:t>Opérationnel</w:t>
            </w:r>
          </w:p>
        </w:tc>
        <w:tc>
          <w:tcPr>
            <w:tcW w:type="dxa" w:w="4649"/>
          </w:tcPr>
          <w:p>
            <w:r>
              <w:rPr>
                <w:b w:val="0"/>
                <w:i w:val="0"/>
                <w:color w:val="1E252D"/>
                <w:sz w:val="19"/>
              </w:rPr>
              <w:t>outils internes papernest</w:t>
            </w:r>
          </w:p>
        </w:tc>
      </w:tr>
    </w:tbl>
    <w:p>
      <w:pPr>
        <w:spacing w:before="60" w:after="0"/>
      </w:pPr>
      <w:r>
        <w:rPr>
          <w:b w:val="0"/>
          <w:i/>
          <w:color w:val="555E68"/>
          <w:sz w:val="17"/>
        </w:rPr>
        <w:t>Confirmé : pratique autonome en production · Opérationnel : pratique réelle en mission ou en projet</w:t>
      </w:r>
    </w:p>
    <w:p>
      <w:pPr>
        <w:spacing w:before="240" w:after="100"/>
        <w:keepNext/>
        <w:pBdr>
          <w:bottom w:val="single" w:sz="8" w:space="2" w:color="1F6FB2"/>
        </w:pBdr>
      </w:pPr>
      <w:r>
        <w:rPr>
          <w:b/>
          <w:i w:val="0"/>
          <w:color w:val="0B2E4F"/>
          <w:sz w:val="24"/>
        </w:rPr>
        <w:t>EXPÉRIENCES PROFESSIONNELLES</w:t>
      </w:r>
    </w:p>
    <w:tbl>
      <w:tblPr>
        <w:tblW w:type="auto" w:w="0"/>
        <w:tblLook w:firstColumn="1" w:firstRow="1" w:lastColumn="0" w:lastRow="0" w:noHBand="0" w:noVBand="1" w:val="04A0"/>
        <w:tblBorders>
          <w:top w:val="single" w:sz="4" w:color="FFFFFF"/>
          <w:left w:val="single" w:sz="4" w:color="FFFFFF"/>
          <w:bottom w:val="single" w:sz="4" w:color="FFFFFF"/>
          <w:right w:val="single" w:sz="4" w:color="FFFFFF"/>
          <w:insideH w:val="nil"/>
          <w:insideV w:val="nil"/>
        </w:tblBorders>
        <w:tblLayout w:type="fixed"/>
        <w:tblCellMar>
          <w:top w:w="60" w:type="dxa"/>
          <w:left w:w="120" w:type="dxa"/>
          <w:bottom w:w="60" w:type="dxa"/>
          <w:right w:w="120" w:type="dxa"/>
        </w:tblCellMar>
      </w:tblPr>
      <w:tblGrid>
        <w:gridCol w:w="7030"/>
        <w:gridCol w:w="2835"/>
      </w:tblGrid>
      <w:tr>
        <w:trPr>
          <w:cantSplit/>
        </w:trPr>
        <w:tc>
          <w:tcPr>
            <w:tcW w:type="dxa" w:w="7030"/>
            <w:shd w:val="clear" w:color="auto" w:fill="EEF3F8"/>
          </w:tcPr>
          <w:p>
            <w:r>
              <w:rPr>
                <w:b/>
                <w:i w:val="0"/>
                <w:color w:val="0B2E4F"/>
                <w:sz w:val="23"/>
              </w:rPr>
              <w:t>Data Engineer</w:t>
            </w:r>
            <w:r>
              <w:rPr>
                <w:b/>
                <w:i w:val="0"/>
                <w:color w:val="1F6FB2"/>
                <w:sz w:val="23"/>
              </w:rPr>
              <w:t xml:space="preserve">  |  papernest</w:t>
            </w:r>
          </w:p>
          <w:p>
            <w:r>
              <w:rPr>
                <w:b w:val="0"/>
                <w:i w:val="0"/>
                <w:color w:val="555E68"/>
                <w:sz w:val="18"/>
              </w:rPr>
              <w:t>Barcelone, Espagne · Hybride · VIE</w:t>
            </w:r>
          </w:p>
        </w:tc>
        <w:tc>
          <w:tcPr>
            <w:tcW w:type="dxa" w:w="2835"/>
            <w:shd w:val="clear" w:color="auto" w:fill="EEF3F8"/>
            <w:vAlign w:val="center"/>
          </w:tcPr>
          <w:p>
            <w:pPr>
              <w:jc w:val="right"/>
            </w:pPr>
            <w:r>
              <w:rPr>
                <w:b/>
                <w:i w:val="0"/>
                <w:color w:val="0B2E4F"/>
                <w:sz w:val="20"/>
              </w:rPr>
              <w:t>10/2025 – aujourd'hui</w:t>
            </w:r>
          </w:p>
        </w:tc>
      </w:tr>
    </w:tbl>
    <w:p>
      <w:pPr>
        <w:keepNext/>
        <w:spacing w:before="100" w:after="40"/>
      </w:pPr>
      <w:r>
        <w:rPr>
          <w:b/>
          <w:i w:val="0"/>
          <w:color w:val="1F6FB2"/>
          <w:sz w:val="20"/>
        </w:rPr>
        <w:t>Contexte</w:t>
      </w:r>
    </w:p>
    <w:p>
      <w:pPr>
        <w:spacing w:before="0" w:after="40"/>
      </w:pPr>
      <w:r>
        <w:rPr>
          <w:b w:val="0"/>
          <w:i w:val="0"/>
          <w:color w:val="1E252D"/>
          <w:sz w:val="20"/>
        </w:rPr>
        <w:t>Scale-up qui simplifie la gestion des contrats du quotidien (énergie, box internet, assurance) sur les marchés français, espagnol et italien. Seul Data Engineer sur le site de Barcelone, dans une stack data en transition d'un fonctionnement historique vers une plateforme fiable.</w:t>
      </w:r>
    </w:p>
    <w:p>
      <w:pPr>
        <w:keepNext/>
        <w:spacing w:before="100" w:after="40"/>
      </w:pPr>
      <w:r>
        <w:rPr>
          <w:b/>
          <w:i w:val="0"/>
          <w:color w:val="1F6FB2"/>
          <w:sz w:val="20"/>
        </w:rPr>
        <w:t>Réalisations</w:t>
      </w:r>
    </w:p>
    <w:p>
      <w:pPr>
        <w:pStyle w:val="ListBullet"/>
        <w:spacing w:after="40"/>
        <w:ind w:left="340" w:hanging="227"/>
      </w:pPr>
      <w:r>
        <w:rPr>
          <w:b/>
          <w:i w:val="0"/>
          <w:sz w:val="20"/>
        </w:rPr>
        <w:t xml:space="preserve">Moteur ETL et dbt : </w:t>
      </w:r>
      <w:r>
        <w:rPr>
          <w:b w:val="0"/>
          <w:i w:val="0"/>
          <w:sz w:val="20"/>
        </w:rPr>
        <w:t>développement de fonctionnalités sur le moteur ETL interne (Python) et sur les modèles dbt alimentant BigQuery, avec tests, documentation et CI/CD.</w:t>
      </w:r>
    </w:p>
    <w:p>
      <w:pPr>
        <w:pStyle w:val="ListBullet"/>
        <w:spacing w:after="40"/>
        <w:ind w:left="340" w:hanging="227"/>
      </w:pPr>
      <w:r>
        <w:rPr>
          <w:b/>
          <w:i w:val="0"/>
          <w:sz w:val="20"/>
        </w:rPr>
        <w:t xml:space="preserve">Qualité de la donnée : </w:t>
      </w:r>
      <w:r>
        <w:rPr>
          <w:b w:val="0"/>
          <w:i w:val="0"/>
          <w:sz w:val="20"/>
        </w:rPr>
        <w:t>mise en place de data contracts et de validation de schéma pour détecter les anomalies avant qu'elles n'atteignent les usages aval.</w:t>
      </w:r>
    </w:p>
    <w:p>
      <w:pPr>
        <w:pStyle w:val="ListBullet"/>
        <w:spacing w:after="40"/>
        <w:ind w:left="340" w:hanging="227"/>
      </w:pPr>
      <w:r>
        <w:rPr>
          <w:b/>
          <w:i w:val="0"/>
          <w:sz w:val="20"/>
        </w:rPr>
        <w:t xml:space="preserve">Supervision : </w:t>
      </w:r>
      <w:r>
        <w:rPr>
          <w:b w:val="0"/>
          <w:i w:val="0"/>
          <w:sz w:val="20"/>
        </w:rPr>
        <w:t>processus d'alerting sur les pipelines pour une détection proactive des incidents.</w:t>
      </w:r>
    </w:p>
    <w:p>
      <w:pPr>
        <w:pStyle w:val="ListBullet"/>
        <w:spacing w:after="40"/>
        <w:ind w:left="340" w:hanging="227"/>
      </w:pPr>
      <w:r>
        <w:rPr>
          <w:b/>
          <w:i w:val="0"/>
          <w:sz w:val="20"/>
        </w:rPr>
        <w:t xml:space="preserve">Éditeur de configuration YAML : </w:t>
      </w:r>
      <w:r>
        <w:rPr>
          <w:b w:val="0"/>
          <w:i w:val="0"/>
          <w:sz w:val="20"/>
        </w:rPr>
        <w:t>conception et développement d'un outil (Next.js, React) permettant de configurer les flux sans risque. Temps de fabrication et de test des pipelines réduit de ~50 %, investigation d'incidents ramenée de 30–60 min à moins de 2 min.</w:t>
      </w:r>
    </w:p>
    <w:p>
      <w:pPr>
        <w:pStyle w:val="ListBullet"/>
        <w:spacing w:after="40"/>
        <w:ind w:left="340" w:hanging="227"/>
      </w:pPr>
      <w:r>
        <w:rPr>
          <w:b/>
          <w:i w:val="0"/>
          <w:sz w:val="20"/>
        </w:rPr>
        <w:t xml:space="preserve">Outils IA : </w:t>
      </w:r>
      <w:r>
        <w:rPr>
          <w:b w:val="0"/>
          <w:i w:val="0"/>
          <w:sz w:val="20"/>
        </w:rPr>
        <w:t>outils internes à base de LLM pour accélérer les workflows des équipes techniques et non techniques.</w:t>
      </w:r>
    </w:p>
    <w:p>
      <w:pPr>
        <w:pStyle w:val="ListBullet"/>
        <w:spacing w:after="40"/>
        <w:ind w:left="340" w:hanging="227"/>
      </w:pPr>
      <w:r>
        <w:rPr>
          <w:b/>
          <w:i w:val="0"/>
          <w:sz w:val="20"/>
        </w:rPr>
        <w:t xml:space="preserve">Rôle transverse : </w:t>
      </w:r>
      <w:r>
        <w:rPr>
          <w:b w:val="0"/>
          <w:i w:val="0"/>
          <w:sz w:val="20"/>
        </w:rPr>
        <w:t>interlocuteur data principal des équipes Sales Ops et Partnership sur les trois marchés.</w:t>
      </w:r>
    </w:p>
    <w:p>
      <w:pPr>
        <w:spacing w:before="80" w:after="160"/>
      </w:pPr>
      <w:r>
        <w:rPr>
          <w:b/>
          <w:i w:val="0"/>
          <w:color w:val="1F6FB2"/>
          <w:sz w:val="19"/>
        </w:rPr>
        <w:t xml:space="preserve">Environnement technique : </w:t>
      </w:r>
      <w:r>
        <w:rPr>
          <w:b w:val="0"/>
          <w:i w:val="0"/>
          <w:sz w:val="19"/>
        </w:rPr>
        <w:t>Python, dbt, BigQuery, SQL, GCP, data contracts, YAML, Next.js, React, TypeScript, Tailwind CSS, Git, CI/CD, APIs LLM.</w:t>
      </w:r>
    </w:p>
    <w:tbl>
      <w:tblPr>
        <w:tblW w:type="auto" w:w="0"/>
        <w:tblLook w:firstColumn="1" w:firstRow="1" w:lastColumn="0" w:lastRow="0" w:noHBand="0" w:noVBand="1" w:val="04A0"/>
        <w:tblBorders>
          <w:top w:val="single" w:sz="4" w:color="FFFFFF"/>
          <w:left w:val="single" w:sz="4" w:color="FFFFFF"/>
          <w:bottom w:val="single" w:sz="4" w:color="FFFFFF"/>
          <w:right w:val="single" w:sz="4" w:color="FFFFFF"/>
          <w:insideH w:val="nil"/>
          <w:insideV w:val="nil"/>
        </w:tblBorders>
        <w:tblLayout w:type="fixed"/>
        <w:tblCellMar>
          <w:top w:w="60" w:type="dxa"/>
          <w:left w:w="120" w:type="dxa"/>
          <w:bottom w:w="60" w:type="dxa"/>
          <w:right w:w="120" w:type="dxa"/>
        </w:tblCellMar>
      </w:tblPr>
      <w:tblGrid>
        <w:gridCol w:w="7030"/>
        <w:gridCol w:w="2835"/>
      </w:tblGrid>
      <w:tr>
        <w:trPr>
          <w:cantSplit/>
        </w:trPr>
        <w:tc>
          <w:tcPr>
            <w:tcW w:type="dxa" w:w="7030"/>
            <w:shd w:val="clear" w:color="auto" w:fill="EEF3F8"/>
          </w:tcPr>
          <w:p>
            <w:r>
              <w:rPr>
                <w:b/>
                <w:i w:val="0"/>
                <w:color w:val="0B2E4F"/>
                <w:sz w:val="23"/>
              </w:rPr>
              <w:t>Développeur Front-Data (alternance)</w:t>
            </w:r>
            <w:r>
              <w:rPr>
                <w:b/>
                <w:i w:val="0"/>
                <w:color w:val="1F6FB2"/>
                <w:sz w:val="23"/>
              </w:rPr>
              <w:t xml:space="preserve">  |  Bouygues Telecom</w:t>
            </w:r>
          </w:p>
          <w:p>
            <w:r>
              <w:rPr>
                <w:b w:val="0"/>
                <w:i w:val="0"/>
                <w:color w:val="555E68"/>
                <w:sz w:val="18"/>
              </w:rPr>
              <w:t>Nantes, France · Hybride</w:t>
            </w:r>
          </w:p>
        </w:tc>
        <w:tc>
          <w:tcPr>
            <w:tcW w:type="dxa" w:w="2835"/>
            <w:shd w:val="clear" w:color="auto" w:fill="EEF3F8"/>
            <w:vAlign w:val="center"/>
          </w:tcPr>
          <w:p>
            <w:pPr>
              <w:jc w:val="right"/>
            </w:pPr>
            <w:r>
              <w:rPr>
                <w:b/>
                <w:i w:val="0"/>
                <w:color w:val="0B2E4F"/>
                <w:sz w:val="20"/>
              </w:rPr>
              <w:t>09/2022 – 08/2025</w:t>
            </w:r>
          </w:p>
        </w:tc>
      </w:tr>
    </w:tbl>
    <w:p>
      <w:pPr>
        <w:keepNext/>
        <w:spacing w:before="100" w:after="40"/>
      </w:pPr>
      <w:r>
        <w:rPr>
          <w:b/>
          <w:i w:val="0"/>
          <w:color w:val="1F6FB2"/>
          <w:sz w:val="20"/>
        </w:rPr>
        <w:t>Contexte</w:t>
      </w:r>
    </w:p>
    <w:p>
      <w:pPr>
        <w:spacing w:before="0" w:after="40"/>
      </w:pPr>
      <w:r>
        <w:rPr>
          <w:b w:val="0"/>
          <w:i w:val="0"/>
          <w:color w:val="1E252D"/>
          <w:sz w:val="20"/>
        </w:rPr>
        <w:t>Alternance de trois ans en parallèle du cycle ingénieur, au sein de l'équipe data d'un opérateur télécom national : plateforme interne d'analyse de logs, ETL central et outillage de gouvernance.</w:t>
      </w:r>
    </w:p>
    <w:p>
      <w:pPr>
        <w:keepNext/>
        <w:spacing w:before="100" w:after="40"/>
      </w:pPr>
      <w:r>
        <w:rPr>
          <w:b/>
          <w:i w:val="0"/>
          <w:color w:val="1F6FB2"/>
          <w:sz w:val="20"/>
        </w:rPr>
        <w:t>Réalisations</w:t>
      </w:r>
    </w:p>
    <w:p>
      <w:pPr>
        <w:pStyle w:val="ListBullet"/>
        <w:spacing w:after="40"/>
        <w:ind w:left="340" w:hanging="227"/>
      </w:pPr>
      <w:r>
        <w:rPr>
          <w:b/>
          <w:i w:val="0"/>
          <w:sz w:val="20"/>
        </w:rPr>
        <w:t xml:space="preserve">Plateforme d'analyse de logs : </w:t>
      </w:r>
      <w:r>
        <w:rPr>
          <w:b w:val="0"/>
          <w:i w:val="0"/>
          <w:sz w:val="20"/>
        </w:rPr>
        <w:t>développement full-stack d'une application web de visualisation et d'analyse des logs machines. Temps d'investigation ramené de plusieurs minutes à un accès quasi instantané.</w:t>
      </w:r>
    </w:p>
    <w:p>
      <w:pPr>
        <w:pStyle w:val="ListBullet"/>
        <w:spacing w:after="40"/>
        <w:ind w:left="340" w:hanging="227"/>
      </w:pPr>
      <w:r>
        <w:rPr>
          <w:b/>
          <w:i w:val="0"/>
          <w:sz w:val="20"/>
        </w:rPr>
        <w:t xml:space="preserve">Streaming : </w:t>
      </w:r>
      <w:r>
        <w:rPr>
          <w:b w:val="0"/>
          <w:i w:val="0"/>
          <w:sz w:val="20"/>
        </w:rPr>
        <w:t>amélioration d'un module SQL de streaming de l'ETL interne sous Apache Flink.</w:t>
      </w:r>
    </w:p>
    <w:p>
      <w:pPr>
        <w:pStyle w:val="ListBullet"/>
        <w:spacing w:after="40"/>
        <w:ind w:left="340" w:hanging="227"/>
      </w:pPr>
      <w:r>
        <w:rPr>
          <w:b/>
          <w:i w:val="0"/>
          <w:sz w:val="20"/>
        </w:rPr>
        <w:t xml:space="preserve">Gouvernance des données : </w:t>
      </w:r>
      <w:r>
        <w:rPr>
          <w:b w:val="0"/>
          <w:i w:val="0"/>
          <w:sz w:val="20"/>
        </w:rPr>
        <w:t>développement de scripts sur BigQuery, Teradata et Hadoop.</w:t>
      </w:r>
    </w:p>
    <w:p>
      <w:pPr>
        <w:pStyle w:val="ListBullet"/>
        <w:spacing w:after="40"/>
        <w:ind w:left="340" w:hanging="227"/>
      </w:pPr>
      <w:r>
        <w:rPr>
          <w:b/>
          <w:i w:val="0"/>
          <w:sz w:val="20"/>
        </w:rPr>
        <w:t xml:space="preserve">Documentation : </w:t>
      </w:r>
      <w:r>
        <w:rPr>
          <w:b w:val="0"/>
          <w:i w:val="0"/>
          <w:sz w:val="20"/>
        </w:rPr>
        <w:t>génération automatique de la documentation depuis le code Java et le Markdown avec Docusaurus.</w:t>
      </w:r>
    </w:p>
    <w:p>
      <w:pPr>
        <w:spacing w:before="80" w:after="160"/>
      </w:pPr>
      <w:r>
        <w:rPr>
          <w:b/>
          <w:i w:val="0"/>
          <w:color w:val="1F6FB2"/>
          <w:sz w:val="19"/>
        </w:rPr>
        <w:t xml:space="preserve">Environnement technique : </w:t>
      </w:r>
      <w:r>
        <w:rPr>
          <w:b w:val="0"/>
          <w:i w:val="0"/>
          <w:sz w:val="19"/>
        </w:rPr>
        <w:t>Java, Spring Boot, React, ElasticSearch, MongoDB, Apache Flink (SQL), BigQuery, Teradata, Hadoop, Docusaurus, Git.</w:t>
      </w:r>
    </w:p>
    <w:tbl>
      <w:tblPr>
        <w:tblW w:type="auto" w:w="0"/>
        <w:tblLook w:firstColumn="1" w:firstRow="1" w:lastColumn="0" w:lastRow="0" w:noHBand="0" w:noVBand="1" w:val="04A0"/>
        <w:tblBorders>
          <w:top w:val="single" w:sz="4" w:color="FFFFFF"/>
          <w:left w:val="single" w:sz="4" w:color="FFFFFF"/>
          <w:bottom w:val="single" w:sz="4" w:color="FFFFFF"/>
          <w:right w:val="single" w:sz="4" w:color="FFFFFF"/>
          <w:insideH w:val="nil"/>
          <w:insideV w:val="nil"/>
        </w:tblBorders>
        <w:tblLayout w:type="fixed"/>
        <w:tblCellMar>
          <w:top w:w="60" w:type="dxa"/>
          <w:left w:w="120" w:type="dxa"/>
          <w:bottom w:w="60" w:type="dxa"/>
          <w:right w:w="120" w:type="dxa"/>
        </w:tblCellMar>
      </w:tblPr>
      <w:tblGrid>
        <w:gridCol w:w="7030"/>
        <w:gridCol w:w="2835"/>
      </w:tblGrid>
      <w:tr>
        <w:trPr>
          <w:cantSplit/>
        </w:trPr>
        <w:tc>
          <w:tcPr>
            <w:tcW w:type="dxa" w:w="7030"/>
            <w:shd w:val="clear" w:color="auto" w:fill="EEF3F8"/>
          </w:tcPr>
          <w:p>
            <w:r>
              <w:rPr>
                <w:b/>
                <w:i w:val="0"/>
                <w:color w:val="0B2E4F"/>
                <w:sz w:val="23"/>
              </w:rPr>
              <w:t>Développeur Java (stage)</w:t>
            </w:r>
            <w:r>
              <w:rPr>
                <w:b/>
                <w:i w:val="0"/>
                <w:color w:val="1F6FB2"/>
                <w:sz w:val="23"/>
              </w:rPr>
              <w:t xml:space="preserve">  |  Ag2ir</w:t>
            </w:r>
          </w:p>
          <w:p>
            <w:r>
              <w:rPr>
                <w:b w:val="0"/>
                <w:i w:val="0"/>
                <w:color w:val="555E68"/>
                <w:sz w:val="18"/>
              </w:rPr>
              <w:t>Alençon, France</w:t>
            </w:r>
          </w:p>
        </w:tc>
        <w:tc>
          <w:tcPr>
            <w:tcW w:type="dxa" w:w="2835"/>
            <w:shd w:val="clear" w:color="auto" w:fill="EEF3F8"/>
            <w:vAlign w:val="center"/>
          </w:tcPr>
          <w:p>
            <w:pPr>
              <w:jc w:val="right"/>
            </w:pPr>
            <w:r>
              <w:rPr>
                <w:b/>
                <w:i w:val="0"/>
                <w:color w:val="0B2E4F"/>
                <w:sz w:val="20"/>
              </w:rPr>
              <w:t>04/2022 – 06/2022</w:t>
            </w:r>
          </w:p>
        </w:tc>
      </w:tr>
    </w:tbl>
    <w:p>
      <w:pPr>
        <w:keepNext/>
        <w:spacing w:before="100" w:after="40"/>
      </w:pPr>
      <w:r>
        <w:rPr>
          <w:b/>
          <w:i w:val="0"/>
          <w:color w:val="1F6FB2"/>
          <w:sz w:val="20"/>
        </w:rPr>
        <w:t>Contexte</w:t>
      </w:r>
    </w:p>
    <w:p>
      <w:pPr>
        <w:spacing w:before="0" w:after="40"/>
      </w:pPr>
      <w:r>
        <w:rPr>
          <w:b w:val="0"/>
          <w:i w:val="0"/>
          <w:color w:val="1E252D"/>
          <w:sz w:val="20"/>
        </w:rPr>
        <w:t>Stage de fin de DUT : outillage autour de l'ERP EBP.</w:t>
      </w:r>
    </w:p>
    <w:p>
      <w:pPr>
        <w:keepNext/>
        <w:spacing w:before="100" w:after="40"/>
      </w:pPr>
      <w:r>
        <w:rPr>
          <w:b/>
          <w:i w:val="0"/>
          <w:color w:val="1F6FB2"/>
          <w:sz w:val="20"/>
        </w:rPr>
        <w:t>Réalisations</w:t>
      </w:r>
    </w:p>
    <w:p>
      <w:pPr>
        <w:pStyle w:val="ListBullet"/>
        <w:spacing w:after="40"/>
        <w:ind w:left="340" w:hanging="227"/>
      </w:pPr>
      <w:r>
        <w:rPr>
          <w:b w:val="0"/>
          <w:i w:val="0"/>
          <w:sz w:val="20"/>
        </w:rPr>
        <w:t>Développement d'une application de configuration de l'ERP à partir de fichiers XML, avec une interface Java Swing.</w:t>
      </w:r>
    </w:p>
    <w:p>
      <w:pPr>
        <w:pStyle w:val="ListBullet"/>
        <w:spacing w:after="40"/>
        <w:ind w:left="340" w:hanging="227"/>
      </w:pPr>
      <w:r>
        <w:rPr>
          <w:b w:val="0"/>
          <w:i w:val="0"/>
          <w:sz w:val="20"/>
        </w:rPr>
        <w:t>Automatisation du traitement des fichiers XML pour faciliter l'intégration de l'ERP chez les clients.</w:t>
      </w:r>
    </w:p>
    <w:p>
      <w:pPr>
        <w:spacing w:before="80" w:after="160"/>
      </w:pPr>
      <w:r>
        <w:rPr>
          <w:b/>
          <w:i w:val="0"/>
          <w:color w:val="1F6FB2"/>
          <w:sz w:val="19"/>
        </w:rPr>
        <w:t xml:space="preserve">Environnement technique : </w:t>
      </w:r>
      <w:r>
        <w:rPr>
          <w:b w:val="0"/>
          <w:i w:val="0"/>
          <w:sz w:val="19"/>
        </w:rPr>
        <w:t>Java, Swing, XML.</w:t>
      </w:r>
    </w:p>
    <w:p>
      <w:pPr>
        <w:spacing w:before="240" w:after="100"/>
        <w:keepNext/>
        <w:pBdr>
          <w:bottom w:val="single" w:sz="8" w:space="2" w:color="1F6FB2"/>
        </w:pBdr>
      </w:pPr>
      <w:r>
        <w:rPr>
          <w:b/>
          <w:i w:val="0"/>
          <w:color w:val="0B2E4F"/>
          <w:sz w:val="24"/>
        </w:rPr>
        <w:t>FORMATION ET CERTIFICATIONS</w:t>
      </w:r>
    </w:p>
    <w:tbl>
      <w:tblPr>
        <w:tblW w:type="auto" w:w="0"/>
        <w:tblLook w:firstColumn="1" w:firstRow="1" w:lastColumn="0" w:lastRow="0" w:noHBand="0" w:noVBand="1" w:val="04A0"/>
        <w:tblBorders>
          <w:top w:val="single" w:sz="4" w:color="FFFFFF"/>
          <w:left w:val="single" w:sz="4" w:color="FFFFFF"/>
          <w:bottom w:val="single" w:sz="4" w:color="FFFFFF"/>
          <w:right w:val="single" w:sz="4" w:color="FFFFFF"/>
          <w:insideH w:val="nil"/>
          <w:insideV w:val="nil"/>
        </w:tblBorders>
        <w:tblLayout w:type="fixed"/>
        <w:tblCellMar>
          <w:top w:w="25" w:type="dxa"/>
          <w:left w:w="0" w:type="dxa"/>
          <w:bottom w:w="25" w:type="dxa"/>
          <w:right w:w="80" w:type="dxa"/>
        </w:tblCellMar>
      </w:tblPr>
      <w:tblGrid>
        <w:gridCol w:w="1474"/>
        <w:gridCol w:w="8391"/>
      </w:tblGrid>
      <w:tr>
        <w:tc>
          <w:tcPr>
            <w:tcW w:type="dxa" w:w="1474"/>
          </w:tcPr>
          <w:p>
            <w:r>
              <w:rPr>
                <w:b/>
                <w:i w:val="0"/>
                <w:color w:val="1F6FB2"/>
                <w:sz w:val="20"/>
              </w:rPr>
              <w:t>2022 – 2025</w:t>
            </w:r>
          </w:p>
        </w:tc>
        <w:tc>
          <w:tcPr>
            <w:tcW w:type="dxa" w:w="8391"/>
          </w:tcPr>
          <w:p>
            <w:r>
              <w:rPr>
                <w:b w:val="0"/>
                <w:i w:val="0"/>
                <w:sz w:val="20"/>
              </w:rPr>
              <w:t>Diplôme d'ingénieur en informatique et technologies numériques, ESIEA (Laval), en alternance. Majeure génie logiciel : full-stack, architecture cloud, CI/CD, Docker.</w:t>
            </w:r>
          </w:p>
        </w:tc>
      </w:tr>
      <w:tr>
        <w:tc>
          <w:tcPr>
            <w:tcW w:type="dxa" w:w="1474"/>
          </w:tcPr>
          <w:p>
            <w:r>
              <w:rPr>
                <w:b/>
                <w:i w:val="0"/>
                <w:color w:val="1F6FB2"/>
                <w:sz w:val="20"/>
              </w:rPr>
              <w:t>2023</w:t>
            </w:r>
          </w:p>
        </w:tc>
        <w:tc>
          <w:tcPr>
            <w:tcW w:type="dxa" w:w="8391"/>
          </w:tcPr>
          <w:p>
            <w:r>
              <w:rPr>
                <w:b w:val="0"/>
                <w:i w:val="0"/>
                <w:sz w:val="20"/>
              </w:rPr>
              <w:t>Semestre d'échange à l'Université du Québec à Chicoutimi (UQAC), Canada.</w:t>
            </w:r>
          </w:p>
        </w:tc>
      </w:tr>
      <w:tr>
        <w:tc>
          <w:tcPr>
            <w:tcW w:type="dxa" w:w="1474"/>
          </w:tcPr>
          <w:p>
            <w:r>
              <w:rPr>
                <w:b/>
                <w:i w:val="0"/>
                <w:color w:val="1F6FB2"/>
                <w:sz w:val="20"/>
              </w:rPr>
              <w:t>2020 – 2022</w:t>
            </w:r>
          </w:p>
        </w:tc>
        <w:tc>
          <w:tcPr>
            <w:tcW w:type="dxa" w:w="8391"/>
          </w:tcPr>
          <w:p>
            <w:r>
              <w:rPr>
                <w:b w:val="0"/>
                <w:i w:val="0"/>
                <w:sz w:val="20"/>
              </w:rPr>
              <w:t>DUT Informatique, IUT du Havre.</w:t>
            </w:r>
          </w:p>
        </w:tc>
      </w:tr>
      <w:tr>
        <w:tc>
          <w:tcPr>
            <w:tcW w:type="dxa" w:w="1474"/>
          </w:tcPr>
          <w:p>
            <w:r>
              <w:rPr>
                <w:b/>
                <w:i w:val="0"/>
                <w:color w:val="1F6FB2"/>
                <w:sz w:val="20"/>
              </w:rPr>
              <w:t>2026</w:t>
            </w:r>
          </w:p>
        </w:tc>
        <w:tc>
          <w:tcPr>
            <w:tcW w:type="dxa" w:w="8391"/>
          </w:tcPr>
          <w:p>
            <w:r>
              <w:rPr>
                <w:b w:val="0"/>
                <w:i w:val="0"/>
                <w:sz w:val="20"/>
              </w:rPr>
              <w:t>TOEIC Listening &amp; Reading : 880/990 (niveau B2).</w:t>
            </w:r>
          </w:p>
        </w:tc>
      </w:tr>
      <w:tr>
        <w:tc>
          <w:tcPr>
            <w:tcW w:type="dxa" w:w="1474"/>
          </w:tcPr>
          <w:p>
            <w:r>
              <w:rPr>
                <w:b/>
                <w:i w:val="0"/>
                <w:color w:val="1F6FB2"/>
                <w:sz w:val="20"/>
              </w:rPr>
              <w:t>2025</w:t>
            </w:r>
          </w:p>
        </w:tc>
        <w:tc>
          <w:tcPr>
            <w:tcW w:type="dxa" w:w="8391"/>
          </w:tcPr>
          <w:p>
            <w:r>
              <w:rPr>
                <w:b w:val="0"/>
                <w:i w:val="0"/>
                <w:sz w:val="20"/>
              </w:rPr>
              <w:t>Google Cloud Digital Leader (valide jusqu'en 2028).</w:t>
            </w:r>
          </w:p>
        </w:tc>
      </w:tr>
      <w:tr>
        <w:tc>
          <w:tcPr>
            <w:tcW w:type="dxa" w:w="1474"/>
          </w:tcPr>
          <w:p>
            <w:r>
              <w:rPr>
                <w:b/>
                <w:i w:val="0"/>
                <w:color w:val="1F6FB2"/>
                <w:sz w:val="20"/>
              </w:rPr>
              <w:t>En cours</w:t>
            </w:r>
          </w:p>
        </w:tc>
        <w:tc>
          <w:tcPr>
            <w:tcW w:type="dxa" w:w="8391"/>
          </w:tcPr>
          <w:p>
            <w:r>
              <w:rPr>
                <w:b w:val="0"/>
                <w:i w:val="0"/>
                <w:sz w:val="20"/>
              </w:rPr>
              <w:t>Google Cloud Professional Data Engineer, en préparation.</w:t>
            </w:r>
          </w:p>
        </w:tc>
      </w:tr>
    </w:tbl>
    <w:p>
      <w:pPr>
        <w:spacing w:before="240" w:after="100"/>
        <w:keepNext/>
        <w:pBdr>
          <w:bottom w:val="single" w:sz="8" w:space="2" w:color="1F6FB2"/>
        </w:pBdr>
      </w:pPr>
      <w:r>
        <w:rPr>
          <w:b/>
          <w:i w:val="0"/>
          <w:color w:val="0B2E4F"/>
          <w:sz w:val="24"/>
        </w:rPr>
        <w:t>LANGUES</w:t>
      </w:r>
    </w:p>
    <w:p>
      <w:pPr>
        <w:pStyle w:val="ListBullet"/>
        <w:spacing w:after="40"/>
        <w:ind w:left="340" w:hanging="227"/>
      </w:pPr>
      <w:r>
        <w:rPr>
          <w:b/>
          <w:i w:val="0"/>
          <w:sz w:val="20"/>
        </w:rPr>
        <w:t xml:space="preserve">Français : </w:t>
      </w:r>
      <w:r>
        <w:rPr>
          <w:b w:val="0"/>
          <w:i w:val="0"/>
          <w:sz w:val="20"/>
        </w:rPr>
        <w:t>langue maternelle.</w:t>
      </w:r>
    </w:p>
    <w:p>
      <w:pPr>
        <w:pStyle w:val="ListBullet"/>
        <w:spacing w:after="40"/>
        <w:ind w:left="340" w:hanging="227"/>
      </w:pPr>
      <w:r>
        <w:rPr>
          <w:b/>
          <w:i w:val="0"/>
          <w:sz w:val="20"/>
        </w:rPr>
        <w:t xml:space="preserve">Anglais : </w:t>
      </w:r>
      <w:r>
        <w:rPr>
          <w:b w:val="0"/>
          <w:i w:val="0"/>
          <w:sz w:val="20"/>
        </w:rPr>
        <w:t>professionnel, langue de travail au quotidien chez papernest (TOEIC 880/990).</w:t>
      </w:r>
    </w:p>
    <w:p>
      <w:pPr>
        <w:pStyle w:val="ListBullet"/>
        <w:spacing w:after="40"/>
        <w:ind w:left="340" w:hanging="227"/>
      </w:pPr>
      <w:r>
        <w:rPr>
          <w:b/>
          <w:i w:val="0"/>
          <w:sz w:val="20"/>
        </w:rPr>
        <w:t xml:space="preserve">Espagnol : </w:t>
      </w:r>
      <w:r>
        <w:rPr>
          <w:b w:val="0"/>
          <w:i w:val="0"/>
          <w:sz w:val="20"/>
        </w:rPr>
        <w:t>notions, en cours d'apprentissage.</w:t>
      </w:r>
    </w:p>
    <w:p>
      <w:pPr>
        <w:spacing w:before="240" w:after="100"/>
        <w:keepNext/>
        <w:pBdr>
          <w:bottom w:val="single" w:sz="8" w:space="2" w:color="1F6FB2"/>
        </w:pBdr>
      </w:pPr>
      <w:r>
        <w:rPr>
          <w:b/>
          <w:i w:val="0"/>
          <w:color w:val="0B2E4F"/>
          <w:sz w:val="24"/>
        </w:rPr>
        <w:t>PROJETS PERSONNELS</w:t>
      </w:r>
    </w:p>
    <w:p>
      <w:pPr>
        <w:pStyle w:val="ListBullet"/>
        <w:spacing w:after="40"/>
        <w:ind w:left="340" w:hanging="227"/>
      </w:pPr>
      <w:r>
        <w:rPr>
          <w:b/>
          <w:i w:val="0"/>
          <w:sz w:val="20"/>
        </w:rPr>
        <w:t xml:space="preserve">Outils en ligne : </w:t>
      </w:r>
      <w:r>
        <w:rPr>
          <w:b w:val="0"/>
          <w:i w:val="0"/>
          <w:sz w:val="20"/>
        </w:rPr>
        <w:t>API Node.js de génération d'images de posts LinkedIn, en production sur un VPS personnel (Docker, reverse proxy Caddy, déploiement par GitHub Actions).</w:t>
      </w:r>
    </w:p>
    <w:p>
      <w:pPr>
        <w:pStyle w:val="ListBullet"/>
        <w:spacing w:after="40"/>
        <w:ind w:left="340" w:hanging="227"/>
      </w:pPr>
      <w:r>
        <w:rPr>
          <w:b/>
          <w:i w:val="0"/>
          <w:sz w:val="20"/>
        </w:rPr>
        <w:t xml:space="preserve">Auto-hébergement : </w:t>
      </w:r>
      <w:r>
        <w:rPr>
          <w:b w:val="0"/>
          <w:i w:val="0"/>
          <w:sz w:val="20"/>
        </w:rPr>
        <w:t>administration d'un VPS Linux hébergeant plusieurs services, avec DNS, TLS et configuration versionnée sous Git.</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5E68"/>
        <w:sz w:val="16"/>
      </w:rPr>
      <w:t xml:space="preserve">Etienne C. · Data Engineer · Dossier de compétences · page </w:t>
    </w:r>
    <w:r>
      <w:rPr>
        <w:color w:val="555E6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4" w:lineRule="auto"/>
    </w:pPr>
    <w:rPr>
      <w:rFonts w:ascii="Calibri" w:hAnsi="Calibri" w:eastAsia="Calibri"/>
      <w:color w:val="1E25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compétences — Etienne C., Data Engineer</dc:title>
  <dc:subject/>
  <dc:creator>Etienne C.</dc:creator>
  <cp:keywords/>
  <dc:description>generated by python-docx</dc:description>
  <cp:lastModifiedBy/>
  <cp:revision>1</cp:revision>
  <dcterms:created xsi:type="dcterms:W3CDTF">2013-12-23T23:15:00Z</dcterms:created>
  <dcterms:modified xsi:type="dcterms:W3CDTF">2013-12-23T23:15:00Z</dcterms:modified>
  <cp:category/>
</cp:coreProperties>
</file>