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7257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0"/>
            </w:pPr>
            <w:r>
              <w:rPr>
                <w:b/>
                <w:color w:val="0AAE9B"/>
                <w:sz w:val="16"/>
              </w:rPr>
              <w:t>ICSC UNIVERSITIES CATEGORY · TRACK A</w:t>
              <w:br/>
            </w:r>
            <w:r>
              <w:rPr>
                <w:b/>
                <w:color w:val="FFFFFF"/>
                <w:sz w:val="38"/>
              </w:rPr>
              <w:t>AEGISTWIN</w:t>
            </w:r>
          </w:p>
        </w:tc>
        <w:tc>
          <w:tcPr>
            <w:tcW w:type="dxa" w:w="2835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0"/>
              <w:jc w:val="right"/>
            </w:pPr>
            <w:r>
              <w:rPr>
                <w:b/>
                <w:color w:val="C5D8E6"/>
                <w:sz w:val="16"/>
              </w:rPr>
              <w:t>TECHNICAL WRITE-UP</w:t>
              <w:br/>
            </w:r>
            <w:r>
              <w:rPr>
                <w:b/>
                <w:color w:val="FFFFFF"/>
                <w:sz w:val="18"/>
              </w:rPr>
              <w:t>v1.4 · 30 AUG 2026</w:t>
            </w:r>
          </w:p>
        </w:tc>
      </w:tr>
    </w:tbl>
    <w:p>
      <w:pPr>
        <w:spacing w:after="0"/>
      </w:pPr>
    </w:p>
    <w:p>
      <w:pPr>
        <w:pStyle w:val="Title"/>
        <w:spacing w:after="40"/>
      </w:pPr>
      <w:r>
        <w:rPr>
          <w:b/>
          <w:color w:val="102A43"/>
          <w:sz w:val="48"/>
        </w:rPr>
        <w:t>Spotting account takeover by recognising the human</w:t>
      </w:r>
    </w:p>
    <w:p>
      <w:pPr>
        <w:spacing w:after="120"/>
      </w:pPr>
      <w:r>
        <w:rPr>
          <w:b/>
          <w:color w:val="0AAE9B"/>
          <w:sz w:val="21"/>
        </w:rPr>
        <w:t>A working, explainable defence for Nigerian app, USSD and agency banking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58"/>
            <w:vAlign w:val="center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B7D1E3"/>
                <w:sz w:val="15"/>
              </w:rPr>
              <w:t>HELD-OUT RECALL</w:t>
              <w:br/>
            </w:r>
            <w:r>
              <w:rPr>
                <w:b/>
                <w:color w:val="FFFFFF"/>
                <w:sz w:val="32"/>
              </w:rPr>
              <w:t>90.9%</w:t>
              <w:br/>
            </w:r>
            <w:r>
              <w:rPr>
                <w:b w:val="0"/>
                <w:color w:val="DCE9F2"/>
                <w:sz w:val="15"/>
              </w:rPr>
              <w:t>40/44 challenged</w:t>
            </w:r>
          </w:p>
        </w:tc>
        <w:tc>
          <w:tcPr>
            <w:tcW w:type="dxa" w:w="3458"/>
            <w:vAlign w:val="center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B7D1E3"/>
                <w:sz w:val="15"/>
              </w:rPr>
              <w:t>FALSE-POSITIVE RATE</w:t>
              <w:br/>
            </w:r>
            <w:r>
              <w:rPr>
                <w:b/>
                <w:color w:val="FFFFFF"/>
                <w:sz w:val="32"/>
              </w:rPr>
              <w:t>0.037%</w:t>
              <w:br/>
            </w:r>
            <w:r>
              <w:rPr>
                <w:b w:val="0"/>
                <w:color w:val="DCE9F2"/>
                <w:sz w:val="15"/>
              </w:rPr>
              <w:t>2/5356 normal</w:t>
            </w:r>
          </w:p>
        </w:tc>
        <w:tc>
          <w:tcPr>
            <w:tcW w:type="dxa" w:w="3458"/>
            <w:vAlign w:val="center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B7D1E3"/>
                <w:sz w:val="15"/>
              </w:rPr>
              <w:t>END-TO-END P99</w:t>
              <w:br/>
            </w:r>
            <w:r>
              <w:rPr>
                <w:b/>
                <w:color w:val="FFFFFF"/>
                <w:sz w:val="32"/>
              </w:rPr>
              <w:t>65 ms</w:t>
              <w:br/>
            </w:r>
            <w:r>
              <w:rPr>
                <w:b w:val="0"/>
                <w:color w:val="DCE9F2"/>
                <w:sz w:val="15"/>
              </w:rPr>
              <w:t>100 warm full-API calls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spacing w:before="100" w:after="60"/>
      </w:pPr>
      <w:r>
        <w:t>Executive summary</w:t>
      </w:r>
    </w:p>
    <w:p>
      <w:pPr>
        <w:pStyle w:val="BodyText"/>
        <w:spacing w:after="80"/>
      </w:pPr>
      <w:r>
        <w:t>PINs and OTPs prove knowledge, not presence. AegisTwin maintains a server-side behavioural twin for each account, compares a live transaction with that person's established habits, and fuses the result with a calibrated population model. It then chooses the least disruptive reversible response and explains it in one plain sentence.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EAF4F7"/>
            <w:tcBorders>
              <w:top w:val="single" w:sz="10" w:color="0AAE9B"/>
              <w:left w:val="single" w:sz="10" w:color="0AAE9B"/>
              <w:bottom w:val="single" w:sz="10" w:color="0AAE9B"/>
              <w:right w:val="single" w:sz="10" w:color="0AAE9B"/>
            </w:tcBorders>
          </w:tcPr>
          <w:p>
            <w:pPr>
              <w:spacing w:after="0"/>
            </w:pPr>
            <w:r>
              <w:rPr>
                <w:b/>
                <w:color w:val="102A43"/>
                <w:sz w:val="17"/>
              </w:rPr>
              <w:t>Core claim: at the challenge threshold, AegisTwin caught 40 of 44 held-out takeovers while challenging 2 of 5,356 normal sessions.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spacing w:before="100" w:after="60"/>
      </w:pPr>
      <w:r>
        <w:t>What makes the prototype differentiated</w:t>
      </w:r>
    </w:p>
    <w:p>
      <w:pPr>
        <w:pStyle w:val="ListBullet"/>
        <w:spacing w:after="40"/>
        <w:ind w:left="255" w:hanging="142"/>
      </w:pPr>
      <w:r>
        <w:rPr>
          <w:b w:val="0"/>
        </w:rPr>
        <w:t>Two-sided network intelligence: a Mule Graph catches many-sender/rapid-cash-out behaviour; analyst-confirmed recipient reputation propagates across accounts with decay and a two-victim hard-floor rule.</w:t>
      </w:r>
    </w:p>
    <w:p>
      <w:pPr>
        <w:pStyle w:val="ListBullet"/>
        <w:spacing w:after="40"/>
        <w:ind w:left="255" w:hanging="142"/>
      </w:pPr>
      <w:r>
        <w:rPr>
          <w:b w:val="0"/>
        </w:rPr>
        <w:t>Agent-Terminal Integrity Twin: gateway-attested cross-customer patterns expose one compromised agency endpoint, while a compound guard protects legitimate high-throughput agents.</w:t>
      </w:r>
    </w:p>
    <w:p>
      <w:pPr>
        <w:pStyle w:val="ListBullet"/>
        <w:spacing w:after="40"/>
        <w:ind w:left="255" w:hanging="142"/>
      </w:pPr>
      <w:r>
        <w:rPr>
          <w:b w:val="0"/>
        </w:rPr>
        <w:t>Decision Confidence Envelope: risk and certainty are separate; thin history, missing evidence and scorer disagreement are surfaced instead of disguised as a safe score.</w:t>
      </w:r>
    </w:p>
    <w:p>
      <w:pPr>
        <w:pStyle w:val="ListBullet"/>
        <w:spacing w:after="40"/>
        <w:ind w:left="255" w:hanging="142"/>
      </w:pPr>
      <w:r>
        <w:rPr>
          <w:b w:val="0"/>
        </w:rPr>
        <w:t>Cross-Channel + Calendar Twins: unusual app-to-USSD enrolment sequences raise takeover risk, while three-cycle monthly payments reduce needless friction.</w:t>
      </w:r>
    </w:p>
    <w:p>
      <w:pPr>
        <w:pStyle w:val="ListBullet"/>
        <w:spacing w:after="40"/>
        <w:ind w:left="255" w:hanging="142"/>
      </w:pPr>
      <w:r>
        <w:rPr>
          <w:b w:val="0"/>
        </w:rPr>
        <w:t>Coercion + trajectory defence: consented in-call safety signals can privately pause payment; recovery/auth/SIM precursors create a decaying account risk window.</w:t>
      </w:r>
    </w:p>
    <w:p>
      <w:pPr>
        <w:pStyle w:val="ListBullet"/>
        <w:spacing w:after="40"/>
        <w:ind w:left="255" w:hanging="142"/>
      </w:pPr>
      <w:r>
        <w:rPr>
          <w:b w:val="0"/>
        </w:rPr>
        <w:t>Personalised friction and recourse: policy compares fraud exposure with customer cost, respects a Regret Budget, and returns safe, non-gameable clearance routes.</w:t>
      </w:r>
    </w:p>
    <w:p>
      <w:pPr>
        <w:pStyle w:val="ListBullet"/>
        <w:spacing w:after="40"/>
        <w:ind w:left="255" w:hanging="142"/>
      </w:pPr>
      <w:r>
        <w:rPr>
          <w:b w:val="0"/>
        </w:rPr>
        <w:t>Adaptive attacker: 2,688 valid raw-event variants expose a NGN 48,000 evasion and test recipient/precursor mitigations without self-training on the answer.</w:t>
      </w:r>
    </w:p>
    <w:p>
      <w:pPr>
        <w:pStyle w:val="ListBullet"/>
        <w:spacing w:after="40"/>
        <w:ind w:left="255" w:hanging="142"/>
      </w:pPr>
      <w:r>
        <w:rPr>
          <w:b w:val="0"/>
        </w:rPr>
        <w:t>AegisMesh + outage assurance: signed rotating cross-bank sketches share patterns, not records; local-action ceilings, revocation, signed cache, no-settlement receipt and hash-chained recovery constrain harm.</w:t>
      </w:r>
    </w:p>
    <w:p>
      <w:pPr>
        <w:pStyle w:val="Heading1"/>
        <w:keepNext/>
        <w:keepLines/>
        <w:spacing w:before="100" w:after="60"/>
      </w:pPr>
      <w:r>
        <w:t>Challenge fit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/>
        </w:trPr>
        <w:tc>
          <w:tcPr>
            <w:tcW w:type="dxa" w:w="2268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Required element</w:t>
            </w:r>
          </w:p>
        </w:tc>
        <w:tc>
          <w:tcPr>
            <w:tcW w:type="dxa" w:w="7710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Delivered</w:t>
            </w:r>
          </w:p>
        </w:tc>
      </w:tr>
      <w:tr>
        <w:trPr>
          <w:cantSplit/>
        </w:trPr>
        <w:tc>
          <w:tcPr>
            <w:tcW w:type="dxa" w:w="2268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Synthetic sessions</w:t>
            </w:r>
          </w:p>
        </w:tc>
        <w:tc>
          <w:tcPr>
            <w:tcW w:type="dxa" w:w="7710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30,000 scored sessions, 750 personas, eight attack families, 12 hard-legitimate families, delayed feedback and causal precursors.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Live model</w:t>
            </w:r>
          </w:p>
        </w:tc>
        <w:tc>
          <w:tcPr>
            <w:tcW w:type="dxa" w:w="7710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FastAPI service; server-built features; calibrated Random Forest + transparent personal anomaly scorer + policy fusion.</w:t>
            </w:r>
          </w:p>
        </w:tc>
      </w:tr>
      <w:tr>
        <w:trPr>
          <w:cantSplit/>
        </w:trPr>
        <w:tc>
          <w:tcPr>
            <w:tcW w:type="dxa" w:w="2268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Both error sides</w:t>
            </w:r>
          </w:p>
        </w:tc>
        <w:tc>
          <w:tcPr>
            <w:tcW w:type="dxa" w:w="7710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Recall, precision, false-positive rate, TP/FP/FN, cohort results, rare-prevalence projection and known failures.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Plain explanation</w:t>
            </w:r>
          </w:p>
        </w:tc>
        <w:tc>
          <w:tcPr>
            <w:tcW w:type="dxa" w:w="7710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One customer-ready sentence plus safe channel, clearance action and expected timing for every interruption.</w:t>
            </w:r>
          </w:p>
        </w:tc>
      </w:tr>
      <w:tr>
        <w:trPr>
          <w:cantSplit/>
        </w:trPr>
        <w:tc>
          <w:tcPr>
            <w:tcW w:type="dxa" w:w="2268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USSD / feature phone</w:t>
            </w:r>
          </w:p>
        </w:tc>
        <w:tc>
          <w:tcPr>
            <w:tcW w:type="dxa" w:w="7710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Gateway timing/menu path, bank history, recipient graph and optional attested telco signals; no app sensor dependency.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Power / network cuts</w:t>
            </w:r>
          </w:p>
        </w:tc>
        <w:tc>
          <w:tcPr>
            <w:tcW w:type="dxa" w:w="7710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Working four-state outage controller; degraded confidence, isolated no-settlement handling, tamper detection and idempotent reconciliation.</w:t>
            </w:r>
          </w:p>
        </w:tc>
      </w:tr>
      <w:tr>
        <w:trPr>
          <w:cantSplit/>
        </w:trPr>
        <w:tc>
          <w:tcPr>
            <w:tcW w:type="dxa" w:w="2268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Agency / consortium</w:t>
            </w:r>
          </w:p>
        </w:tc>
        <w:tc>
          <w:tcPr>
            <w:tcW w:type="dxa" w:w="7710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Attested terminal risk plus signed private recipient/terminal/campaign sketches; one bank or uncorroborated evidence only monitors.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0AAE9B"/>
          <w:sz w:val="20"/>
        </w:rPr>
        <w:t xml:space="preserve">02  </w:t>
      </w:r>
      <w:r>
        <w:rPr>
          <w:b/>
          <w:color w:val="102A43"/>
          <w:sz w:val="38"/>
        </w:rPr>
        <w:t>System and AI design</w:t>
      </w:r>
    </w:p>
    <w:p>
      <w:pPr>
        <w:spacing w:after="100"/>
      </w:pPr>
      <w:r>
        <w:rPr>
          <w:color w:val="52697D"/>
          <w:sz w:val="17"/>
        </w:rPr>
        <w:t>A hybrid decision is stronger than either a black-box model or a fixed rule list alone.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rPr>
          <w:tblHeader/>
        </w:trPr>
        <w:tc>
          <w:tcPr>
            <w:tcW w:type="dxa" w:w="1956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1 · Event</w:t>
            </w:r>
          </w:p>
        </w:tc>
        <w:tc>
          <w:tcPr>
            <w:tcW w:type="dxa" w:w="1956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2 · Sender twin</w:t>
            </w:r>
          </w:p>
        </w:tc>
        <w:tc>
          <w:tcPr>
            <w:tcW w:type="dxa" w:w="2013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3 · Other risk views</w:t>
            </w:r>
          </w:p>
        </w:tc>
        <w:tc>
          <w:tcPr>
            <w:tcW w:type="dxa" w:w="2013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4 · AI + policy</w:t>
            </w:r>
          </w:p>
        </w:tc>
        <w:tc>
          <w:tcPr>
            <w:tcW w:type="dxa" w:w="2013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5 · Evidence</w:t>
            </w:r>
          </w:p>
        </w:tc>
      </w:tr>
      <w:tr>
        <w:trPr>
          <w:cantSplit/>
        </w:trPr>
        <w:tc>
          <w:tcPr>
            <w:tcW w:type="dxa" w:w="1956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App / USSD / agent</w:t>
            </w:r>
          </w:p>
        </w:tc>
        <w:tc>
          <w:tcPr>
            <w:tcW w:type="dxa" w:w="1956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Sender behavioural twin</w:t>
            </w:r>
          </w:p>
        </w:tc>
        <w:tc>
          <w:tcPr>
            <w:tcW w:type="dxa" w:w="2013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Graph + agent + AegisMesh</w:t>
            </w:r>
          </w:p>
        </w:tc>
        <w:tc>
          <w:tcPr>
            <w:tcW w:type="dxa" w:w="2013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Hybrid AI + cost policy</w:t>
            </w:r>
          </w:p>
        </w:tc>
        <w:tc>
          <w:tcPr>
            <w:tcW w:type="dxa" w:w="2013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Recourse + audit hash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spacing w:before="100" w:after="60"/>
      </w:pPr>
      <w:r>
        <w:t>Signals and trust boundaries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/>
        </w:trPr>
        <w:tc>
          <w:tcPr>
            <w:tcW w:type="dxa" w:w="1757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Signal family</w:t>
            </w:r>
          </w:p>
        </w:tc>
        <w:tc>
          <w:tcPr>
            <w:tcW w:type="dxa" w:w="3912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Examples</w:t>
            </w:r>
          </w:p>
        </w:tc>
        <w:tc>
          <w:tcPr>
            <w:tcW w:type="dxa" w:w="4309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How trust is constrained</w:t>
            </w:r>
          </w:p>
        </w:tc>
      </w:tr>
      <w:tr>
        <w:trPr>
          <w:cantSplit/>
        </w:trPr>
        <w:tc>
          <w:tcPr>
            <w:tcW w:type="dxa" w:w="1757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Transaction</w:t>
            </w:r>
          </w:p>
        </w:tc>
        <w:tc>
          <w:tcPr>
            <w:tcW w:type="dxa" w:w="3912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amount/MAD, balance drain, recipient novelty, velocity, hour</w:t>
            </w:r>
          </w:p>
        </w:tc>
        <w:tc>
          <w:tcPr>
            <w:tcW w:type="dxa" w:w="4309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Computed inside the bank from earlier events; client cannot supply its baseline.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App behaviour</w:t>
            </w:r>
          </w:p>
        </w:tc>
        <w:tc>
          <w:tcPr>
            <w:tcW w:type="dxa" w:w="3912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typing, handling, navigation, coercion-safety telemetry</w:t>
            </w:r>
          </w:p>
        </w:tc>
        <w:tc>
          <w:tcPr>
            <w:tcW w:type="dxa" w:w="4309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Optional; coercion fields are zeroed unless consented and device-attested.</w:t>
            </w:r>
          </w:p>
        </w:tc>
      </w:tr>
      <w:tr>
        <w:trPr>
          <w:cantSplit/>
        </w:trPr>
        <w:tc>
          <w:tcPr>
            <w:tcW w:type="dxa" w:w="1757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USSD behaviour</w:t>
            </w:r>
          </w:p>
        </w:tc>
        <w:tc>
          <w:tcPr>
            <w:tcW w:type="dxa" w:w="3912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menu depth, interaction speed, path signature, SIM/IP</w:t>
            </w:r>
          </w:p>
        </w:tc>
        <w:tc>
          <w:tcPr>
            <w:tcW w:type="dxa" w:w="4309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Collected by gateway/core systems, usable on feature phones.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Telco lifecycle</w:t>
            </w:r>
          </w:p>
        </w:tc>
        <w:tc>
          <w:tcPr>
            <w:tcW w:type="dxa" w:w="3912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activation age, IMSI/ICCID change flags, swaps/30d, OTP proximity</w:t>
            </w:r>
          </w:p>
        </w:tc>
        <w:tc>
          <w:tcPr>
            <w:tcW w:type="dxa" w:w="4309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Ignored unless gateway-attested; accepts bounded indicators, not raw subscriber IDs.</w:t>
            </w:r>
          </w:p>
        </w:tc>
      </w:tr>
      <w:tr>
        <w:trPr>
          <w:cantSplit/>
        </w:trPr>
        <w:tc>
          <w:tcPr>
            <w:tcW w:type="dxa" w:w="1757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Account + recipient</w:t>
            </w:r>
          </w:p>
        </w:tc>
        <w:tc>
          <w:tcPr>
            <w:tcW w:type="dxa" w:w="3912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failed auth, recovery, mule fan-in/cash-out, verified change</w:t>
            </w:r>
          </w:p>
        </w:tc>
        <w:tc>
          <w:tcPr>
            <w:tcW w:type="dxa" w:w="4309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Precursor hazard decays; mule floor requires cash-out, not merchant fan-in alone.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Agent terminal</w:t>
            </w:r>
          </w:p>
        </w:tc>
        <w:tc>
          <w:tcPr>
            <w:tcW w:type="dxa" w:w="3912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customer diversity, recipient concentration, auth failures, location/shift</w:t>
            </w:r>
          </w:p>
        </w:tc>
        <w:tc>
          <w:tcPr>
            <w:tcW w:type="dxa" w:w="4309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Ignored unless gateway-attested; one victim only monitors, three independent victims quarantine.</w:t>
            </w:r>
          </w:p>
        </w:tc>
      </w:tr>
      <w:tr>
        <w:trPr>
          <w:cantSplit/>
        </w:trPr>
        <w:tc>
          <w:tcPr>
            <w:tcW w:type="dxa" w:w="1757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Exchange + policy</w:t>
            </w:r>
          </w:p>
        </w:tc>
        <w:tc>
          <w:tcPr>
            <w:tcW w:type="dxa" w:w="3912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rotating sketch, issuer count, confidence, action costs</w:t>
            </w:r>
          </w:p>
        </w:tc>
        <w:tc>
          <w:tcPr>
            <w:tcW w:type="dxa" w:w="4309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Signed banks share no raw record; without local corroboration the exchange can only monitor.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spacing w:before="100" w:after="60"/>
      </w:pPr>
      <w:r>
        <w:t>Decision mechanics</w:t>
      </w:r>
    </w:p>
    <w:p>
      <w:pPr>
        <w:pStyle w:val="BodyText"/>
        <w:spacing w:after="80"/>
      </w:pPr>
      <w:r>
        <w:t>The population model learns attack combinations; personal, recipient and agent-terminal scorers expose accountable deviations. Ordered channel transitions, calendar rhythm and a decaying precursor window add sequence and time. AegisMesh adds delayed cross-bank evidence after the model, never as a leaked training label. Risk fusion is followed by separate confidence and a friction-cost policy. Shared evidence alone can monitor; locally corroborated evidence can contribute a delay but not a hold.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EAF4F7"/>
            <w:tcBorders>
              <w:top w:val="single" w:sz="10" w:color="239CC4"/>
              <w:left w:val="single" w:sz="10" w:color="239CC4"/>
              <w:bottom w:val="single" w:sz="10" w:color="239CC4"/>
              <w:right w:val="single" w:sz="10" w:color="239CC4"/>
            </w:tcBorders>
          </w:tcPr>
          <w:p>
            <w:pPr>
              <w:spacing w:after="0"/>
            </w:pPr>
            <w:r>
              <w:rPr>
                <w:b/>
                <w:color w:val="102A43"/>
                <w:sz w:val="17"/>
              </w:rPr>
              <w:t>Adaptive result: NGN 48,000 evasion scores 0.293; recipient graph raises the same event to 0.760 and a reversible delay.</w:t>
            </w:r>
          </w:p>
        </w:tc>
      </w:tr>
    </w:tbl>
    <w:p>
      <w:pPr>
        <w:spacing w:after="0"/>
      </w:pPr>
    </w:p>
    <w:p>
      <w:pPr>
        <w:pStyle w:val="BodyText"/>
        <w:spacing w:after="40"/>
      </w:pPr>
      <w:r>
        <w:t>Live proof: cross-channel sequence 0.720; a three-cycle payment remains 0.074. AegisMesh moves a baseline 0.084 to one-bank monitoring 0.373; two uncorroborated banks cap at 0.420, while local corroboration selects a reversible delay at 0.726.</w:t>
      </w:r>
    </w:p>
    <w:p>
      <w:pPr>
        <w:pStyle w:val="BodyText"/>
        <w:spacing w:after="40"/>
      </w:pPr>
      <w:r>
        <w:t>Outage proof: three events were hash-chained; deliberate tampering was detected; all 3 events re-scored after recovery with 0 duplicate actions and 0 automatic settlements. Detection 2.8 ms; recovery 74.5 ms on the test laptop.</w:t>
      </w:r>
    </w:p>
    <w:p>
      <w:pPr>
        <w:pStyle w:val="BodyText"/>
        <w:spacing w:after="40"/>
      </w:pPr>
      <w:r>
        <w:t>Agent proof: a busy legitimate terminal remains at 0.084; a compromised cross-customer terminal reaches 0.740 and a reversible delay. Three independent victims quarantine it; an unattested forged claim contributes 0% agent evidence.</w:t>
      </w:r>
    </w:p>
    <w:p>
      <w:pPr>
        <w:pStyle w:val="Heading1"/>
        <w:keepNext/>
        <w:keepLines/>
        <w:spacing w:before="100" w:after="60"/>
      </w:pPr>
      <w:r>
        <w:t>Why it remains explainable</w:t>
      </w:r>
    </w:p>
    <w:p>
      <w:pPr>
        <w:pStyle w:val="ListBullet"/>
        <w:spacing w:after="40"/>
        <w:ind w:left="255" w:hanging="142"/>
      </w:pPr>
      <w:r>
        <w:rPr>
          <w:b w:val="0"/>
        </w:rPr>
        <w:t>The API returns model/anomaly/fused risk, a separate decision-confidence score and reasons, profile/evidence coverage, recipient status, action costs and uncertainty note.</w:t>
      </w:r>
    </w:p>
    <w:p>
      <w:pPr>
        <w:pStyle w:val="ListBullet"/>
        <w:spacing w:after="40"/>
        <w:ind w:left="255" w:hanging="142"/>
      </w:pPr>
      <w:r>
        <w:rPr>
          <w:b w:val="0"/>
        </w:rPr>
        <w:t>Customer wording avoids hidden technical claims; structured recourse offers registered-device confirmation, official callback or safe expiry without disclosing thresholds.</w:t>
      </w:r>
    </w:p>
    <w:p>
      <w:pPr>
        <w:pStyle w:val="ListBullet"/>
        <w:spacing w:after="40"/>
        <w:ind w:left="255" w:hanging="142"/>
      </w:pPr>
      <w:r>
        <w:rPr>
          <w:b w:val="0"/>
        </w:rPr>
        <w:t>If the model artifact is missing or has a mismatched feature schema, runtime falls back to transparent scoring rather than crashing or accepting blindly.</w:t>
      </w:r>
    </w:p>
    <w:p>
      <w:pPr>
        <w:pStyle w:val="Heading1"/>
        <w:keepNext/>
        <w:keepLines/>
        <w:spacing w:before="100" w:after="60"/>
      </w:pPr>
      <w:r>
        <w:t>Operational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/>
        </w:trPr>
        <w:tc>
          <w:tcPr>
            <w:tcW w:type="dxa" w:w="1587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type="dxa" w:w="3402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Customer treatment</w:t>
            </w:r>
          </w:p>
        </w:tc>
        <w:tc>
          <w:tcPr>
            <w:tcW w:type="dxa" w:w="4989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Safeguard</w:t>
            </w:r>
          </w:p>
        </w:tc>
      </w:tr>
      <w:tr>
        <w:trPr>
          <w:cantSplit/>
        </w:trPr>
        <w:tc>
          <w:tcPr>
            <w:tcW w:type="dxa" w:w="1587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Low</w:t>
            </w:r>
          </w:p>
        </w:tc>
        <w:tc>
          <w:tcPr>
            <w:tcW w:type="dxa" w:w="3402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Allow</w:t>
            </w:r>
          </w:p>
        </w:tc>
        <w:tc>
          <w:tcPr>
            <w:tcW w:type="dxa" w:w="4989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Current event waits in learning quarantine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Guarded</w:t>
            </w:r>
          </w:p>
        </w:tc>
        <w:tc>
          <w:tcPr>
            <w:tcW w:type="dxa" w:w="3402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Allow + monitor</w:t>
            </w:r>
          </w:p>
        </w:tc>
        <w:tc>
          <w:tcPr>
            <w:tcW w:type="dxa" w:w="4989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No payment interruption</w:t>
            </w:r>
          </w:p>
        </w:tc>
      </w:tr>
      <w:tr>
        <w:trPr>
          <w:cantSplit/>
        </w:trPr>
        <w:tc>
          <w:tcPr>
            <w:tcW w:type="dxa" w:w="1587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Elevated</w:t>
            </w:r>
          </w:p>
        </w:tc>
        <w:tc>
          <w:tcPr>
            <w:tcW w:type="dxa" w:w="3402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Trusted-channel confirmation</w:t>
            </w:r>
          </w:p>
        </w:tc>
        <w:tc>
          <w:tcPr>
            <w:tcW w:type="dxa" w:w="4989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Do not use the possibly compromised channel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High</w:t>
            </w:r>
          </w:p>
        </w:tc>
        <w:tc>
          <w:tcPr>
            <w:tcW w:type="dxa" w:w="3402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15-minute settlement delay</w:t>
            </w:r>
          </w:p>
        </w:tc>
        <w:tc>
          <w:tcPr>
            <w:tcW w:type="dxa" w:w="4989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Customer can confirm/cancel; reversible</w:t>
            </w:r>
          </w:p>
        </w:tc>
      </w:tr>
      <w:tr>
        <w:trPr>
          <w:cantSplit/>
        </w:trPr>
        <w:tc>
          <w:tcPr>
            <w:tcW w:type="dxa" w:w="1587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Critical</w:t>
            </w:r>
          </w:p>
        </w:tc>
        <w:tc>
          <w:tcPr>
            <w:tcW w:type="dxa" w:w="3402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Two-hour hold + review</w:t>
            </w:r>
          </w:p>
        </w:tc>
        <w:tc>
          <w:tcPr>
            <w:tcW w:type="dxa" w:w="4989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Analyst review; SHA-256 chained evidence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Coercion</w:t>
            </w:r>
          </w:p>
        </w:tc>
        <w:tc>
          <w:tcPr>
            <w:tcW w:type="dxa" w:w="3402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Private 15-minute safety pause</w:t>
            </w:r>
          </w:p>
        </w:tc>
        <w:tc>
          <w:tcPr>
            <w:tcW w:type="dxa" w:w="4989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End calls/screen share; confirm through an official channel</w:t>
            </w:r>
          </w:p>
        </w:tc>
      </w:tr>
      <w:tr>
        <w:trPr>
          <w:cantSplit/>
        </w:trPr>
        <w:tc>
          <w:tcPr>
            <w:tcW w:type="dxa" w:w="1587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Outage</w:t>
            </w:r>
          </w:p>
        </w:tc>
        <w:tc>
          <w:tcPr>
            <w:tcW w:type="dxa" w:w="3402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Monitor / confirm / pending</w:t>
            </w:r>
          </w:p>
        </w:tc>
        <w:tc>
          <w:tcPr>
            <w:tcW w:type="dxa" w:w="4989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Never treat missing evidence as safe; never claim isolated settlement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0AAE9B"/>
          <w:sz w:val="20"/>
        </w:rPr>
        <w:t xml:space="preserve">03  </w:t>
      </w:r>
      <w:r>
        <w:rPr>
          <w:b/>
          <w:color w:val="102A43"/>
          <w:sz w:val="38"/>
        </w:rPr>
        <w:t>Synthetic data, evaluation and failure cases</w:t>
      </w:r>
    </w:p>
    <w:p>
      <w:pPr>
        <w:spacing w:after="100"/>
      </w:pPr>
      <w:r>
        <w:rPr>
          <w:color w:val="52697D"/>
          <w:sz w:val="17"/>
        </w:rPr>
        <w:t>The test is chronological and the numbers describe the exact final fusion policy.</w:t>
      </w:r>
    </w:p>
    <w:p>
      <w:pPr>
        <w:pStyle w:val="Heading1"/>
        <w:keepNext/>
        <w:keepLines/>
        <w:spacing w:before="100" w:after="60"/>
      </w:pPr>
      <w:r>
        <w:t>How the dataset was generated</w:t>
      </w:r>
    </w:p>
    <w:p>
      <w:pPr>
        <w:pStyle w:val="BodyText"/>
        <w:spacing w:after="80"/>
      </w:pPr>
      <w:r>
        <w:t>A deterministic generator (seed 2026) creates 750 personas across six Nigerian cities. After eight earlier events, accounts may receive one of eight attacks or 12 hard legitimate changes. It includes groomed-recipient takeovers plus legitimate recovery, failed-login retry, cooperative networks, mule cash-out, shared agents, monthly cycles and delayed confirmations. Post-label reputation and event-type shortcuts are excluded from population-model training. The newest 18% is held out.</w:t>
      </w:r>
    </w:p>
    <w:p>
      <w:pPr>
        <w:pStyle w:val="Heading1"/>
        <w:keepNext/>
        <w:keepLines/>
        <w:spacing w:before="100" w:after="60"/>
      </w:pPr>
      <w:r>
        <w:t>Final held-out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rPr>
          <w:tblHeader/>
        </w:trPr>
        <w:tc>
          <w:tcPr>
            <w:tcW w:type="dxa" w:w="3458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Live threshold</w:t>
            </w:r>
          </w:p>
        </w:tc>
        <w:tc>
          <w:tcPr>
            <w:tcW w:type="dxa" w:w="1361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Recall</w:t>
            </w:r>
          </w:p>
        </w:tc>
        <w:tc>
          <w:tcPr>
            <w:tcW w:type="dxa" w:w="1361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Precision</w:t>
            </w:r>
          </w:p>
        </w:tc>
        <w:tc>
          <w:tcPr>
            <w:tcW w:type="dxa" w:w="1417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FPR</w:t>
            </w:r>
          </w:p>
        </w:tc>
        <w:tc>
          <w:tcPr>
            <w:tcW w:type="dxa" w:w="2381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TP / FP / FN</w:t>
            </w:r>
          </w:p>
        </w:tc>
      </w:tr>
      <w:tr>
        <w:trPr>
          <w:cantSplit/>
        </w:trPr>
        <w:tc>
          <w:tcPr>
            <w:tcW w:type="dxa" w:w="3458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Monitor or stronger</w:t>
            </w:r>
          </w:p>
        </w:tc>
        <w:tc>
          <w:tcPr>
            <w:tcW w:type="dxa" w:w="1361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93.2%</w:t>
            </w:r>
          </w:p>
        </w:tc>
        <w:tc>
          <w:tcPr>
            <w:tcW w:type="dxa" w:w="1361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85.4%</w:t>
            </w:r>
          </w:p>
        </w:tc>
        <w:tc>
          <w:tcPr>
            <w:tcW w:type="dxa" w:w="1417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0.131%</w:t>
            </w:r>
          </w:p>
        </w:tc>
        <w:tc>
          <w:tcPr>
            <w:tcW w:type="dxa" w:w="2381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41 / 7 / 3</w:t>
            </w:r>
          </w:p>
        </w:tc>
      </w:tr>
      <w:tr>
        <w:trPr>
          <w:cantSplit/>
        </w:trPr>
        <w:tc>
          <w:tcPr>
            <w:tcW w:type="dxa" w:w="3458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Customer confirmation or stronger</w:t>
            </w:r>
          </w:p>
        </w:tc>
        <w:tc>
          <w:tcPr>
            <w:tcW w:type="dxa" w:w="1361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90.9%</w:t>
            </w:r>
          </w:p>
        </w:tc>
        <w:tc>
          <w:tcPr>
            <w:tcW w:type="dxa" w:w="1361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95.2%</w:t>
            </w:r>
          </w:p>
        </w:tc>
        <w:tc>
          <w:tcPr>
            <w:tcW w:type="dxa" w:w="1417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0.037%</w:t>
            </w:r>
          </w:p>
        </w:tc>
        <w:tc>
          <w:tcPr>
            <w:tcW w:type="dxa" w:w="2381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40 / 2 / 4</w:t>
            </w:r>
          </w:p>
        </w:tc>
      </w:tr>
      <w:tr>
        <w:trPr>
          <w:cantSplit/>
        </w:trPr>
        <w:tc>
          <w:tcPr>
            <w:tcW w:type="dxa" w:w="3458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Settlement delay or hold</w:t>
            </w:r>
          </w:p>
        </w:tc>
        <w:tc>
          <w:tcPr>
            <w:tcW w:type="dxa" w:w="1361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90.9%</w:t>
            </w:r>
          </w:p>
        </w:tc>
        <w:tc>
          <w:tcPr>
            <w:tcW w:type="dxa" w:w="1361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95.2%</w:t>
            </w:r>
          </w:p>
        </w:tc>
        <w:tc>
          <w:tcPr>
            <w:tcW w:type="dxa" w:w="1417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0.037%</w:t>
            </w:r>
          </w:p>
        </w:tc>
        <w:tc>
          <w:tcPr>
            <w:tcW w:type="dxa" w:w="2381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40 / 2 / 4</w:t>
            </w:r>
          </w:p>
        </w:tc>
      </w:tr>
      <w:tr>
        <w:trPr>
          <w:cantSplit/>
        </w:trPr>
        <w:tc>
          <w:tcPr>
            <w:tcW w:type="dxa" w:w="3458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Two-hour hold and review</w:t>
            </w:r>
          </w:p>
        </w:tc>
        <w:tc>
          <w:tcPr>
            <w:tcW w:type="dxa" w:w="1361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79.5%</w:t>
            </w:r>
          </w:p>
        </w:tc>
        <w:tc>
          <w:tcPr>
            <w:tcW w:type="dxa" w:w="1361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97.2%</w:t>
            </w:r>
          </w:p>
        </w:tc>
        <w:tc>
          <w:tcPr>
            <w:tcW w:type="dxa" w:w="1417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0.019%</w:t>
            </w:r>
          </w:p>
        </w:tc>
        <w:tc>
          <w:tcPr>
            <w:tcW w:type="dxa" w:w="2381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35 / 1 / 9</w:t>
            </w:r>
          </w:p>
        </w:tc>
      </w:tr>
    </w:tbl>
    <w:p>
      <w:pPr>
        <w:spacing w:after="0"/>
      </w:pPr>
    </w:p>
    <w:p>
      <w:pPr>
        <w:pStyle w:val="BodyText"/>
        <w:spacing w:after="80"/>
      </w:pPr>
      <w:r>
        <w:t>Held-out window: 5,400 sessions, 44 takeovers (0.81%); model/fused ROC-AUC 0.9729/0.9611, neither perfect. The best single feature is 0.9385. At 0.1% prevalence, the measured confirmation rates project 3.73 false alerts per 10,000; this is a mathematical projection, not field validation.</w:t>
      </w:r>
    </w:p>
    <w:p>
      <w:pPr>
        <w:pStyle w:val="Heading1"/>
        <w:keepNext/>
        <w:keepLines/>
        <w:spacing w:before="100" w:after="60"/>
      </w:pPr>
      <w:r>
        <w:t>Channel and scenario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/>
        </w:trPr>
        <w:tc>
          <w:tcPr>
            <w:tcW w:type="dxa" w:w="2381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Cohort</w:t>
            </w:r>
          </w:p>
        </w:tc>
        <w:tc>
          <w:tcPr>
            <w:tcW w:type="dxa" w:w="3685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Held-out evidence</w:t>
            </w:r>
          </w:p>
        </w:tc>
        <w:tc>
          <w:tcPr>
            <w:tcW w:type="dxa" w:w="3912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Result at ≥0.48</w:t>
            </w:r>
          </w:p>
        </w:tc>
      </w:tr>
      <w:tr>
        <w:trPr>
          <w:cantSplit/>
        </w:trPr>
        <w:tc>
          <w:tcPr>
            <w:tcW w:type="dxa" w:w="2381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USSD</w:t>
            </w:r>
          </w:p>
        </w:tc>
        <w:tc>
          <w:tcPr>
            <w:tcW w:type="dxa" w:w="3685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2,320 sessions / 21 takeovers</w:t>
            </w:r>
          </w:p>
        </w:tc>
        <w:tc>
          <w:tcPr>
            <w:tcW w:type="dxa" w:w="3912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95% recall; 0.000% FPR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App</w:t>
            </w:r>
          </w:p>
        </w:tc>
        <w:tc>
          <w:tcPr>
            <w:tcW w:type="dxa" w:w="3685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2,346 sessions / 15 takeovers</w:t>
            </w:r>
          </w:p>
        </w:tc>
        <w:tc>
          <w:tcPr>
            <w:tcW w:type="dxa" w:w="3912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87% recall; 0.000% FPR</w:t>
            </w:r>
          </w:p>
        </w:tc>
      </w:tr>
      <w:tr>
        <w:trPr>
          <w:cantSplit/>
        </w:trPr>
        <w:tc>
          <w:tcPr>
            <w:tcW w:type="dxa" w:w="2381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Agent</w:t>
            </w:r>
          </w:p>
        </w:tc>
        <w:tc>
          <w:tcPr>
            <w:tcW w:type="dxa" w:w="3685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734 sessions / 8 takeovers</w:t>
            </w:r>
          </w:p>
        </w:tc>
        <w:tc>
          <w:tcPr>
            <w:tcW w:type="dxa" w:w="3912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88% recall; 0.276% FPR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Unseen accounts</w:t>
            </w:r>
          </w:p>
        </w:tc>
        <w:tc>
          <w:tcPr>
            <w:tcW w:type="dxa" w:w="3685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150 accounts / 42 takeovers</w:t>
            </w:r>
          </w:p>
        </w:tc>
        <w:tc>
          <w:tcPr>
            <w:tcW w:type="dxa" w:w="3912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83% recall; 0.101% FPR</w:t>
            </w:r>
          </w:p>
        </w:tc>
      </w:tr>
      <w:tr>
        <w:trPr>
          <w:cantSplit/>
        </w:trPr>
        <w:tc>
          <w:tcPr>
            <w:tcW w:type="dxa" w:w="2381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Busy agent</w:t>
            </w:r>
          </w:p>
        </w:tc>
        <w:tc>
          <w:tcPr>
            <w:tcW w:type="dxa" w:w="3685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60 legitimate events</w:t>
            </w:r>
          </w:p>
        </w:tc>
        <w:tc>
          <w:tcPr>
            <w:tcW w:type="dxa" w:w="3912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0% challenged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Community cooperative</w:t>
            </w:r>
          </w:p>
        </w:tc>
        <w:tc>
          <w:tcPr>
            <w:tcW w:type="dxa" w:w="3685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56 legitimate events</w:t>
            </w:r>
          </w:p>
        </w:tc>
        <w:tc>
          <w:tcPr>
            <w:tcW w:type="dxa" w:w="3912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0% challenged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spacing w:before="100" w:after="60"/>
      </w:pPr>
      <w:r>
        <w:t>Known failures—shown, not hidden</w:t>
      </w:r>
    </w:p>
    <w:p>
      <w:pPr>
        <w:pStyle w:val="ListBullet"/>
        <w:spacing w:after="40"/>
        <w:ind w:left="255" w:hanging="142"/>
      </w:pPr>
      <w:r>
        <w:rPr>
          <w:b w:val="0"/>
        </w:rPr>
        <w:t>Low-and-slow recall is 0% (0/3); remote-control USSD recall is 75%. These deliberately subtle misses replace the previous unrealistic perfect ranking.</w:t>
      </w:r>
    </w:p>
    <w:p>
      <w:pPr>
        <w:pStyle w:val="ListBullet"/>
        <w:spacing w:after="40"/>
        <w:ind w:left="255" w:hanging="142"/>
      </w:pPr>
      <w:r>
        <w:rPr>
          <w:b w:val="0"/>
        </w:rPr>
        <w:t>Account-disjoint confirmation recall falls to 83.3% with 0 customer overlap, showing the cost of generalising beyond established twins.</w:t>
      </w:r>
    </w:p>
    <w:p>
      <w:pPr>
        <w:pStyle w:val="ListBullet"/>
        <w:spacing w:after="40"/>
        <w:ind w:left="255" w:hanging="142"/>
      </w:pPr>
      <w:r>
        <w:rPr>
          <w:b w:val="0"/>
        </w:rPr>
        <w:t>Emergency transfers are the principal hard-negative cohort: 3.23% (2/62) were challenged. Every action remains reversible.</w:t>
      </w:r>
    </w:p>
    <w:p>
      <w:pPr>
        <w:pStyle w:val="ListBullet"/>
        <w:spacing w:after="40"/>
        <w:ind w:left="255" w:hanging="142"/>
      </w:pPr>
      <w:r>
        <w:rPr>
          <w:b w:val="0"/>
        </w:rPr>
        <w:t>Adaptive search found a same-device/SIM/IP NGN 48,000 evasion at 0.293. A fresh recipient without graph or precursor evidence remains a disclosed weakness.</w:t>
      </w:r>
    </w:p>
    <w:p>
      <w:r>
        <w:br w:type="page"/>
      </w:r>
    </w:p>
    <w:p>
      <w:pPr>
        <w:spacing w:after="20"/>
      </w:pPr>
      <w:r>
        <w:rPr>
          <w:b/>
          <w:color w:val="0AAE9B"/>
          <w:sz w:val="20"/>
        </w:rPr>
        <w:t xml:space="preserve">04  </w:t>
      </w:r>
      <w:r>
        <w:rPr>
          <w:b/>
          <w:color w:val="102A43"/>
          <w:sz w:val="38"/>
        </w:rPr>
        <w:t>Security, deployment and reproducibility</w:t>
      </w:r>
    </w:p>
    <w:p>
      <w:pPr>
        <w:spacing w:after="100"/>
      </w:pPr>
      <w:r>
        <w:rPr>
          <w:color w:val="52697D"/>
          <w:sz w:val="17"/>
        </w:rPr>
        <w:t>A prototype judges can run today, with explicit gates before any real-money use.</w:t>
      </w:r>
    </w:p>
    <w:p>
      <w:pPr>
        <w:pStyle w:val="Heading1"/>
        <w:keepNext/>
        <w:keepLines/>
        <w:spacing w:before="100" w:after="60"/>
      </w:pPr>
      <w:r>
        <w:t>Security and privacy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/>
        </w:trPr>
        <w:tc>
          <w:tcPr>
            <w:tcW w:type="dxa" w:w="1984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type="dxa" w:w="3798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Implemented control</w:t>
            </w:r>
          </w:p>
        </w:tc>
        <w:tc>
          <w:tcPr>
            <w:tcW w:type="dxa" w:w="4195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Production next step</w:t>
            </w:r>
          </w:p>
        </w:tc>
      </w:tr>
      <w:tr>
        <w:trPr>
          <w:cantSplit/>
        </w:trPr>
        <w:tc>
          <w:tcPr>
            <w:tcW w:type="dxa" w:w="1984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Forged client baselines</w:t>
            </w:r>
          </w:p>
        </w:tc>
        <w:tc>
          <w:tcPr>
            <w:tcW w:type="dxa" w:w="3798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All behavioural profiles computed server-side</w:t>
            </w:r>
          </w:p>
        </w:tc>
        <w:tc>
          <w:tcPr>
            <w:tcW w:type="dxa" w:w="4195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Authenticated event bus + schema registry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Forged telco claims</w:t>
            </w:r>
          </w:p>
        </w:tc>
        <w:tc>
          <w:tcPr>
            <w:tcW w:type="dxa" w:w="3798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Unattested envelope is zeroed</w:t>
            </w:r>
          </w:p>
        </w:tc>
        <w:tc>
          <w:tcPr>
            <w:tcW w:type="dxa" w:w="4195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mTLS, signed claims, issuer allow-list, key rotation</w:t>
            </w:r>
          </w:p>
        </w:tc>
      </w:tr>
      <w:tr>
        <w:trPr>
          <w:cantSplit/>
        </w:trPr>
        <w:tc>
          <w:tcPr>
            <w:tcW w:type="dxa" w:w="1984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Forged / accused agent terminal</w:t>
            </w:r>
          </w:p>
        </w:tc>
        <w:tc>
          <w:tcPr>
            <w:tcW w:type="dxa" w:w="3798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Unattested evidence ignored; 1 victim monitors, 3 quarantine</w:t>
            </w:r>
          </w:p>
        </w:tc>
        <w:tc>
          <w:tcPr>
            <w:tcW w:type="dxa" w:w="4195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Gateway signatures, appeal/reinstatement SLA and cohort calibration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Poisoning</w:t>
            </w:r>
          </w:p>
        </w:tc>
        <w:tc>
          <w:tcPr>
            <w:tcW w:type="dxa" w:w="3798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24h quarantine; fraud revokes event and rebuilds profile</w:t>
            </w:r>
          </w:p>
        </w:tc>
        <w:tc>
          <w:tcPr>
            <w:tcW w:type="dxa" w:w="4195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Durable scheduler and labelled shadow-mode review</w:t>
            </w:r>
          </w:p>
        </w:tc>
      </w:tr>
      <w:tr>
        <w:trPr>
          <w:cantSplit/>
        </w:trPr>
        <w:tc>
          <w:tcPr>
            <w:tcW w:type="dxa" w:w="1984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Bad feedback</w:t>
            </w:r>
          </w:p>
        </w:tc>
        <w:tc>
          <w:tcPr>
            <w:tcW w:type="dxa" w:w="3798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Independent second approval; appeals; 90-day decay</w:t>
            </w:r>
          </w:p>
        </w:tc>
        <w:tc>
          <w:tcPr>
            <w:tcW w:type="dxa" w:w="4195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Identity provider, reason-quality QA and appeal SLA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Replay / tampering</w:t>
            </w:r>
          </w:p>
        </w:tc>
        <w:tc>
          <w:tcPr>
            <w:tcW w:type="dxa" w:w="3798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Exact causal replay + idempotent lifecycle + signed audit head</w:t>
            </w:r>
          </w:p>
        </w:tc>
        <w:tc>
          <w:tcPr>
            <w:tcW w:type="dxa" w:w="4195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WORM anchor, durable queue and HSM keys</w:t>
            </w:r>
          </w:p>
        </w:tc>
      </w:tr>
      <w:tr>
        <w:trPr>
          <w:cantSplit/>
        </w:trPr>
        <w:tc>
          <w:tcPr>
            <w:tcW w:type="dxa" w:w="1984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Private exchange abuse</w:t>
            </w:r>
          </w:p>
        </w:tc>
        <w:tc>
          <w:tcPr>
            <w:tcW w:type="dxa" w:w="3798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Per-bank signature, nonce, rotation, rate, expiry, revocation, action ceiling</w:t>
            </w:r>
          </w:p>
        </w:tc>
        <w:tc>
          <w:tcPr>
            <w:tcW w:type="dxa" w:w="4195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VOPRF/PSI, HSM keys and consortium appeal governance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Tenant / role abuse</w:t>
            </w:r>
          </w:p>
        </w:tc>
        <w:tc>
          <w:tcPr>
            <w:tcW w:type="dxa" w:w="3798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Tenant-bound queries; integration/analyst/auditor separation</w:t>
            </w:r>
          </w:p>
        </w:tc>
        <w:tc>
          <w:tcPr>
            <w:tcW w:type="dxa" w:w="4195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Workload identity, mTLS and central SIEM</w:t>
            </w:r>
          </w:p>
        </w:tc>
      </w:tr>
      <w:tr>
        <w:trPr>
          <w:cantSplit/>
        </w:trPr>
        <w:tc>
          <w:tcPr>
            <w:tcW w:type="dxa" w:w="1984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Privacy leakage</w:t>
            </w:r>
          </w:p>
        </w:tc>
        <w:tc>
          <w:tcPr>
            <w:tcW w:type="dxa" w:w="3798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Synthetic data; coarse/derived signals; no raw IMSI/ICCID</w:t>
            </w:r>
          </w:p>
        </w:tc>
        <w:tc>
          <w:tcPr>
            <w:tcW w:type="dxa" w:w="4195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Consent, minimization, retention and access review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Customer harm</w:t>
            </w:r>
          </w:p>
        </w:tc>
        <w:tc>
          <w:tcPr>
            <w:tcW w:type="dxa" w:w="3798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Reversible actions + Regret Budget + plain explanation</w:t>
            </w:r>
          </w:p>
        </w:tc>
        <w:tc>
          <w:tcPr>
            <w:tcW w:type="dxa" w:w="4195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Bank-specific appeals and emergency handling</w:t>
            </w:r>
          </w:p>
        </w:tc>
      </w:tr>
      <w:tr>
        <w:trPr>
          <w:cantSplit/>
        </w:trPr>
        <w:tc>
          <w:tcPr>
            <w:tcW w:type="dxa" w:w="1984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Power / network loss</w:t>
            </w:r>
          </w:p>
        </w:tc>
        <w:tc>
          <w:tcPr>
            <w:tcW w:type="dxa" w:w="3798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Signed modes + edge capsule + confidence floor + chained journal</w:t>
            </w:r>
          </w:p>
        </w:tc>
        <w:tc>
          <w:tcPr>
            <w:tcW w:type="dxa" w:w="4195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mTLS/HSM keys, encrypted replicated log and alternate-site drill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Release configuration</w:t>
            </w:r>
          </w:p>
        </w:tc>
        <w:tc>
          <w:tcPr>
            <w:tcW w:type="dxa" w:w="3798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JSON/CSV list parser + checked-in example + clean-package boot test</w:t>
            </w:r>
          </w:p>
        </w:tc>
        <w:tc>
          <w:tcPr>
            <w:tcW w:type="dxa" w:w="4195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Secrets manager, deployment admission checks and staged rollout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spacing w:before="100" w:after="60"/>
      </w:pPr>
      <w:r>
        <w:t>Reproduce the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/>
        </w:trPr>
        <w:tc>
          <w:tcPr>
            <w:tcW w:type="dxa" w:w="4309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Command</w:t>
            </w:r>
          </w:p>
        </w:tc>
        <w:tc>
          <w:tcPr>
            <w:tcW w:type="dxa" w:w="5669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4309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pip install -e '.[dev,dashboard]'</w:t>
            </w:r>
          </w:p>
        </w:tc>
        <w:tc>
          <w:tcPr>
            <w:tcW w:type="dxa" w:w="5669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Install local prototype</w:t>
            </w:r>
          </w:p>
        </w:tc>
      </w:tr>
      <w:tr>
        <w:trPr>
          <w:cantSplit/>
        </w:trPr>
        <w:tc>
          <w:tcPr>
            <w:tcW w:type="dxa" w:w="4309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python scripts/demo_fraud_sketch_exchange.py</w:t>
            </w:r>
          </w:p>
        </w:tc>
        <w:tc>
          <w:tcPr>
            <w:tcW w:type="dxa" w:w="5669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Prove signed private propagation, ceilings, outage cache, tamper and revocation</w:t>
            </w:r>
          </w:p>
        </w:tc>
      </w:tr>
      <w:tr>
        <w:trPr>
          <w:cantSplit/>
        </w:trPr>
        <w:tc>
          <w:tcPr>
            <w:tcW w:type="dxa" w:w="4309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pytest --cov=aegistwin &amp;&amp; python scripts/release_smoke_test.py .</w:t>
            </w:r>
          </w:p>
        </w:tc>
        <w:tc>
          <w:tcPr>
            <w:tcW w:type="dxa" w:w="5669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Run 53 tests, coverage gate and clean-copy environment/API boot</w:t>
            </w:r>
          </w:p>
        </w:tc>
      </w:tr>
      <w:tr>
        <w:trPr>
          <w:cantSplit/>
        </w:trPr>
        <w:tc>
          <w:tcPr>
            <w:tcW w:type="dxa" w:w="4309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python scripts/generate_synthetic.py --rows 30000</w:t>
            </w:r>
          </w:p>
        </w:tc>
        <w:tc>
          <w:tcPr>
            <w:tcW w:type="dxa" w:w="5669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Regenerate raw sessions and derived features</w:t>
            </w:r>
          </w:p>
        </w:tc>
      </w:tr>
      <w:tr>
        <w:trPr>
          <w:cantSplit/>
        </w:trPr>
        <w:tc>
          <w:tcPr>
            <w:tcW w:type="dxa" w:w="4309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python scripts/train_model.py &amp;&amp; python scripts/evaluate_system.py</w:t>
            </w:r>
          </w:p>
        </w:tc>
        <w:tc>
          <w:tcPr>
            <w:tcW w:type="dxa" w:w="5669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Retrain and reproduce held-out policy metrics</w:t>
            </w:r>
          </w:p>
        </w:tc>
      </w:tr>
      <w:tr>
        <w:trPr>
          <w:cantSplit/>
        </w:trPr>
        <w:tc>
          <w:tcPr>
            <w:tcW w:type="dxa" w:w="4309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python scripts/evaluate_robustness.py</w:t>
            </w:r>
          </w:p>
        </w:tc>
        <w:tc>
          <w:tcPr>
            <w:tcW w:type="dxa" w:w="5669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Reject perfect synthetic ranking; reproduce zero-overlap account test</w:t>
            </w:r>
          </w:p>
        </w:tc>
      </w:tr>
      <w:tr>
        <w:trPr>
          <w:cantSplit/>
        </w:trPr>
        <w:tc>
          <w:tcPr>
            <w:tcW w:type="dxa" w:w="4309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python scripts/adaptive_attack_search.py</w:t>
            </w:r>
          </w:p>
        </w:tc>
        <w:tc>
          <w:tcPr>
            <w:tcW w:type="dxa" w:w="5669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Reproduce the 2,688-candidate adversarial search</w:t>
            </w:r>
          </w:p>
        </w:tc>
      </w:tr>
      <w:tr>
        <w:trPr>
          <w:cantSplit/>
        </w:trPr>
        <w:tc>
          <w:tcPr>
            <w:tcW w:type="dxa" w:w="4309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python scripts/demo_outage_resilience.py &amp;&amp; python scripts/demo_agent_terminal.py</w:t>
            </w:r>
          </w:p>
        </w:tc>
        <w:tc>
          <w:tcPr>
            <w:tcW w:type="dxa" w:w="5669"/>
            <w:shd w:fill="FFFFFF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Prove outage recovery and agent-terminal safeguards</w:t>
            </w:r>
          </w:p>
        </w:tc>
      </w:tr>
      <w:tr>
        <w:trPr>
          <w:cantSplit/>
        </w:trPr>
        <w:tc>
          <w:tcPr>
            <w:tcW w:type="dxa" w:w="4309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/>
                <w:color w:val="07182B"/>
                <w:sz w:val="14"/>
              </w:rPr>
              <w:t>python scripts/load_test.py --requests 100 --workers 8</w:t>
            </w:r>
          </w:p>
        </w:tc>
        <w:tc>
          <w:tcPr>
            <w:tcW w:type="dxa" w:w="5669"/>
            <w:shd w:fill="F4F7FA"/>
            <w:tcBorders>
              <w:top w:val="single" w:sz="5" w:color="C7D5E0"/>
              <w:left w:val="single" w:sz="5" w:color="C7D5E0"/>
              <w:bottom w:val="single" w:sz="5" w:color="C7D5E0"/>
              <w:right w:val="single" w:sz="5" w:color="C7D5E0"/>
            </w:tcBorders>
          </w:tcPr>
          <w:p>
            <w:pPr>
              <w:spacing w:after="0"/>
            </w:pPr>
            <w:r>
              <w:rPr>
                <w:b w:val="0"/>
                <w:color w:val="07182B"/>
                <w:sz w:val="14"/>
              </w:rPr>
              <w:t>Reproduce 100/100 concurrent successes; 965 ms p99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spacing w:before="100" w:after="60"/>
      </w:pPr>
      <w:r>
        <w:t>Evidence provenance</w:t>
      </w:r>
    </w:p>
    <w:p>
      <w:pPr>
        <w:pStyle w:val="BodyText"/>
        <w:spacing w:after="80"/>
      </w:pPr>
      <w:r>
        <w:t>Model SHA-256: ec9eef33a16cf415c6f57969…  ·  Training-feature CSV SHA-256: 321ef953e3360c809305249d…  ·  Model version: rf-calibrated-longitudinal-ng-7.0. Full hashes and machine-readable results are included in the package.</w:t>
      </w:r>
    </w:p>
    <w:p>
      <w:pPr>
        <w:pStyle w:val="Heading1"/>
        <w:keepNext/>
        <w:keepLines/>
        <w:spacing w:before="100" w:after="60"/>
      </w:pPr>
      <w:r>
        <w:t>External idea review and clean-room boundary</w:t>
      </w:r>
    </w:p>
    <w:p>
      <w:pPr>
        <w:pStyle w:val="BodyText"/>
        <w:spacing w:after="80"/>
      </w:pPr>
      <w:r>
        <w:t>The public sliit-msc-research SIM-swap repository suggested lifecycle categories but was not copied or imported: it had no licence or generator, its file naming and row counts conflicted, roughly 73.9% of rows were labelled fraud, and its README derived labels from the same inputs. AegisTwin independently implements bounded attested concepts and rare longitudinal evaluation; the full source audit is included.</w:t>
      </w:r>
    </w:p>
    <w:p>
      <w:pPr>
        <w:pStyle w:val="Heading1"/>
        <w:keepNext/>
        <w:keepLines/>
        <w:spacing w:before="100" w:after="60"/>
      </w:pPr>
      <w:r>
        <w:t>Submission assets and final gate</w:t>
      </w:r>
    </w:p>
    <w:p>
      <w:pPr>
        <w:pStyle w:val="BodyText"/>
        <w:spacing w:after="80"/>
      </w:pPr>
      <w:r>
        <w:t>Included: four-page PDF/DOCX, captioned real-run demo, source ZIP, synthetic data, model, 53 tests, evaluation/robustness/latency/load/adaptive/platform/outage/agent/sketch JSON, CycloneDX SBOM, restore manifest and checksums. The captain must publish the source and replace CODE_LINK.md. Synthetic results must not be represented as bank-field accuracy.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EAF4F7"/>
            <w:tcBorders>
              <w:top w:val="single" w:sz="10" w:color="E39A19"/>
              <w:left w:val="single" w:sz="10" w:color="E39A19"/>
              <w:bottom w:val="single" w:sz="10" w:color="E39A19"/>
              <w:right w:val="single" w:sz="10" w:color="E39A19"/>
            </w:tcBorders>
          </w:tcPr>
          <w:p>
            <w:pPr>
              <w:spacing w:after="0"/>
            </w:pPr>
            <w:r>
              <w:rPr>
                <w:b/>
                <w:color w:val="102A43"/>
                <w:sz w:val="17"/>
              </w:rPr>
              <w:t>Recommended next pilot: shadow-mode scoring plus a two-bank governed sketch sandbox; calibrate customer cost and privacy leakage before any real-money action.</w:t>
            </w:r>
          </w:p>
        </w:tc>
      </w:tr>
    </w:tbl>
    <w:p>
      <w:pPr>
        <w:spacing w:after="0"/>
      </w:pPr>
    </w:p>
    <w:sectPr>
      <w:footerReference w:type="default" r:id="rId9"/>
      <w:pgSz w:w="11906" w:h="16838"/>
      <w:pgMar w:top="709" w:right="822" w:bottom="652" w:left="822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color w:val="52697D"/>
        <w:sz w:val="14"/>
      </w:rPr>
      <w:t>AegisTwin · Track A · Synthetic prototype · Technical submission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38" w:lineRule="auto"/>
    </w:pPr>
    <w:rPr>
      <w:rFonts w:ascii="Aptos" w:hAnsi="Aptos"/>
      <w:color w:val="07182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AAE9B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38" w:lineRule="auto"/>
    </w:pPr>
    <w:rPr>
      <w:rFonts w:ascii="Aptos" w:hAnsi="Aptos"/>
      <w:color w:val="07182B"/>
      <w:sz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AegisTwin Track A Technical Write-up</dc:title>
  <dc:subject>ICSC Universities Category — Spotting Account Takeover From Behaviour</dc:subject>
  <dc:creator/>
  <cp:keywords>ICSC, account takeover, behavioural AI, USSD, Nigeria, privacy, fraud sketch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