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pPr>
      <w:r>
        <w:rPr>
          <w:rFonts w:ascii="Times New Roman" w:hAnsi="Times New Roman"/>
          <w:sz w:val="21"/>
        </w:rPr>
        <w:t>Given an IoT incident dominated by DDoS HTTP activity, what is the first stabilization objective for the administrator?: The first objective is to preserve service availability for legitimate administrators and devices. The administrator should identify the protected service, affected route, application endpoint, or management portal under load and confirm whether the traffic is public-facing, internal, device-originated, or passing through a gateway or proxy. Emergency rate limits should be enabled at the closest effective control point, such as the load balancer, reverse proxy, API gateway, web application firewall, or edge firewall, while mitigation is staged so aggressive filtering does not break required device operations.</w:t>
      </w:r>
    </w:p>
    <w:p>
      <w:pPr>
        <w:spacing w:after="40"/>
      </w:pPr>
    </w:p>
    <w:p>
      <w:pPr>
        <w:spacing w:after="120" w:line="259" w:lineRule="auto"/>
      </w:pPr>
      <w:r>
        <w:rPr>
          <w:rFonts w:ascii="Times New Roman" w:hAnsi="Times New Roman"/>
          <w:sz w:val="21"/>
        </w:rPr>
        <w:t>What traffic indicators should be examined to confirm an HTTP-based denial-of-service attack against IoT services?: The administrator should examine whether there is a sharp increase in HTTP requests to a small number of endpoints or routes, many requests with similar methods, paths, user agents, headers, or payload sizes, and repeated requests that trigger authentication, dynamic page generation, search, database lookup, device status polling, or firmware download. The administrator should also check for high request rates from many sources, a single local segment, compromised devices, or unexpected network locations, along with incomplete requests, abnormal connection resets, server errors, timeouts, or HTTP 4xx and 5xx responses.</w:t>
      </w:r>
    </w:p>
    <w:p>
      <w:pPr>
        <w:spacing w:after="40"/>
      </w:pPr>
    </w:p>
    <w:p>
      <w:pPr>
        <w:spacing w:after="120" w:line="259" w:lineRule="auto"/>
      </w:pPr>
      <w:r>
        <w:rPr>
          <w:rFonts w:ascii="Times New Roman" w:hAnsi="Times New Roman"/>
          <w:sz w:val="21"/>
        </w:rPr>
        <w:t>Which service-health indicators are important during a DDoS HTTP incident affecting IoT infrastructure?: Important service indicators include high CPU usage on web servers, API gateways, reverse proxies, or application backends; exhausted worker pools, connection pools, database sessions, memory, file descriptors, or queue capacity; increased latency for legitimate administrative actions or device control operations; failed device check-ins, delayed telemetry processing, or missed control commands; and health checks failing on application routes while lower-level network connectivity remains available.</w:t>
      </w:r>
    </w:p>
    <w:p>
      <w:pPr>
        <w:spacing w:after="40"/>
      </w:pPr>
    </w:p>
    <w:p>
      <w:pPr>
        <w:spacing w:after="120" w:line="259" w:lineRule="auto"/>
      </w:pPr>
      <w:r>
        <w:rPr>
          <w:rFonts w:ascii="Times New Roman" w:hAnsi="Times New Roman"/>
          <w:sz w:val="21"/>
        </w:rPr>
        <w:t>How should rate limiting and throttling be applied during DDoS HTTP mitigation?: The administrator should apply per-source, per-subnet, per-token, per-device, and per-route rate limits where supported. Lower thresholds should be used for login, token refresh, password reset, search, configuration, and firmware download routes. Adaptive throttling should be applied when error rates, backend latency, or queue depth exceed normal thresholds. Abusive clients should receive lightweight error responses rather than being allowed to reach expensive application logic.</w:t>
      </w:r>
    </w:p>
    <w:p>
      <w:pPr>
        <w:spacing w:after="40"/>
      </w:pPr>
    </w:p>
    <w:p>
      <w:pPr>
        <w:spacing w:after="120" w:line="259" w:lineRule="auto"/>
      </w:pPr>
      <w:r>
        <w:rPr>
          <w:rFonts w:ascii="Times New Roman" w:hAnsi="Times New Roman"/>
          <w:sz w:val="21"/>
        </w:rPr>
        <w:t>What request-reduction and caching actions can reduce backend load during a DDoS HTTP event?: The administrator should cache static assets, documentation pages, firmware metadata, status pages, and repeated read-only responses. Static or degraded-mode pages can be served for dashboards when backend systems are overloaded. Nonessential expensive operations such as broad search, heavy reports, bulk export, or historical queries should be disabled or deferred. Connection reuse and upstream keep-alive settings should be used to reduce backend connection churn.</w:t>
      </w:r>
    </w:p>
    <w:p>
      <w:pPr>
        <w:spacing w:after="40"/>
      </w:pPr>
    </w:p>
    <w:p>
      <w:pPr>
        <w:spacing w:after="120" w:line="259" w:lineRule="auto"/>
      </w:pPr>
      <w:r>
        <w:rPr>
          <w:rFonts w:ascii="Times New Roman" w:hAnsi="Times New Roman"/>
          <w:sz w:val="21"/>
        </w:rPr>
        <w:t>What web application firewall controls are appropriate for DDoS HTTP mitigation in IoT services?: The administrator should block malformed HTTP methods, invalid headers, suspicious payloads, and request patterns that do not match the service design. Sensitive management routes should use allowlists when those routes should only be reachable from known administrative networks. Bot-management or challenge mechanisms may be applied only when they do not interfere with legitimate device clients.</w:t>
      </w:r>
    </w:p>
    <w:p>
      <w:pPr>
        <w:spacing w:after="40"/>
      </w:pPr>
    </w:p>
    <w:p>
      <w:pPr>
        <w:spacing w:after="120" w:line="259" w:lineRule="auto"/>
      </w:pPr>
      <w:r>
        <w:rPr>
          <w:rFonts w:ascii="Times New Roman" w:hAnsi="Times New Roman"/>
          <w:sz w:val="21"/>
        </w:rPr>
        <w:t>Which infrastructure controls help prevent an HTTP flood from exhausting shared IoT management resources?: The administrator should use edge protection, CDN services, managed DDoS protection, or upstream filtering for public-facing services. Public web traffic should be separated from device control channels and internal management networks. Reverse proxies and API gateways should be placed in front of device management applications. Connection limits, request body limits, header size limits, idle timeouts, backend timeout policies, queue limits, and circuit breakers should be configured. Backend databases, message brokers, and authentication services should have their own limits and monitoring.</w:t>
      </w:r>
    </w:p>
    <w:p>
      <w:pPr>
        <w:spacing w:after="40"/>
      </w:pPr>
    </w:p>
    <w:p>
      <w:pPr>
        <w:spacing w:after="120" w:line="259" w:lineRule="auto"/>
      </w:pPr>
      <w:r>
        <w:rPr>
          <w:rFonts w:ascii="Times New Roman" w:hAnsi="Times New Roman"/>
          <w:sz w:val="21"/>
        </w:rPr>
        <w:t>What investigation workflow should be followed after DDoS HTTP activity is detected?: The administrator should review web server, reverse proxy, load balancer, API gateway, firewall, DNS, and application logs for the attack window. The review should identify top requested paths, methods, response codes, user agents, request sizes, and error rates. Suspicious sources should be compared with legitimate device traffic to avoid blocking required device communications. The administrator should determine whether the attack uses many external sources, a small number of local devices, compromised internal endpoints, or spoofed-looking headers, and check whether backend failures were caused by authentication, database queries, firmware downloads, API polling, or application worker exhaustion.</w:t>
      </w:r>
    </w:p>
    <w:p>
      <w:pPr>
        <w:spacing w:after="40"/>
      </w:pPr>
    </w:p>
    <w:p>
      <w:pPr>
        <w:spacing w:after="120" w:line="259" w:lineRule="auto"/>
      </w:pPr>
      <w:r>
        <w:rPr>
          <w:rFonts w:ascii="Times New Roman" w:hAnsi="Times New Roman"/>
          <w:sz w:val="21"/>
        </w:rPr>
        <w:t>How should normal service be restored after a DDoS HTTP incident stabilizes?: Recovery should be performed after service health stabilizes. The administrator should confirm that legitimate administrators and devices can reach required services, review whether rate limits blocked legitimate devices, and adjust thresholds if needed. Overloaded queues, failed jobs, stuck sessions, and delayed telemetry pipelines should be flushed or repaired. Authentication, device enrollment, configuration updates, and telemetry ingestion should be validated, while logs and traffic summaries should be retained for post-incident tuning and reporting.</w:t>
      </w:r>
    </w:p>
    <w:p>
      <w:pPr>
        <w:spacing w:after="40"/>
      </w:pPr>
    </w:p>
    <w:p>
      <w:pPr>
        <w:spacing w:after="120" w:line="259" w:lineRule="auto"/>
      </w:pPr>
      <w:r>
        <w:rPr>
          <w:rFonts w:ascii="Times New Roman" w:hAnsi="Times New Roman"/>
          <w:sz w:val="21"/>
        </w:rPr>
        <w:t>What long-term hardening actions should be taken after DDoS HTTP mitigation?: All public-facing IoT web services should be placed behind a reverse proxy, API gateway, web application firewall, or managed edge protection layer. Normal request baselines should be defined for each route, with alerts on sudden deviations. Route-specific rate limits should be used instead of one global limit. Device data ingestion, administrator dashboards, firmware distribution, and authentication should be separated into independently protected services where feasible. The administrator should reduce the cost of unauthenticated requests, design degraded modes that preserve critical device control, test DDoS playbooks, and document controls that can be activated without vendor approval.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