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pPr>
      <w:r>
        <w:rPr>
          <w:rFonts w:ascii="Times New Roman" w:hAnsi="Times New Roman"/>
          <w:sz w:val="21"/>
        </w:rPr>
        <w:t>Given an IoT incident dominated by Ransomware activity, what immediate containment actions should the administrator take?: The administrator should isolate affected endpoints from the network using switch port shutdown, quarantine VLANs, firewall rules, or endpoint isolation where available. Backup repositories should be disconnected or protected immediately to prevent ransomware from reaching online backups, snapshots, file shares, and archive systems. Compromised credentials, administrative accounts, service accounts, API tokens, and remote access sessions should be disabled. Suspicious command-and-control, file-transfer, remote-administration, and lateral-movement traffic should be blocked. Nonessential automation jobs that copy data between devices, gateways, storage systems, and cloud services should be stopped, and volatile evidence should be preserved where feasible.</w:t>
      </w:r>
    </w:p>
    <w:p>
      <w:pPr>
        <w:spacing w:after="40"/>
      </w:pPr>
    </w:p>
    <w:p>
      <w:pPr>
        <w:spacing w:after="120" w:line="259" w:lineRule="auto"/>
      </w:pPr>
      <w:r>
        <w:rPr>
          <w:rFonts w:ascii="Times New Roman" w:hAnsi="Times New Roman"/>
          <w:sz w:val="21"/>
        </w:rPr>
        <w:t>What early-stage indicators should be reviewed when ransomware is suspected in an IoT environment?: The administrator should review unexpected authentication from unusual sources, service accounts, or administrative systems; lateral movement between devices, gateways, file shares, backup servers, or management systems; and enumeration of shares, credentials, device inventories, configuration repositories, or backup locations. Additional early-stage indicators include mass file access, unusual file rename activity, abnormal write rates, unexpected compression activity, security tool tampering, disabled logging, stopped backup jobs, and failed monitoring agents.</w:t>
      </w:r>
    </w:p>
    <w:p>
      <w:pPr>
        <w:spacing w:after="40"/>
      </w:pPr>
    </w:p>
    <w:p>
      <w:pPr>
        <w:spacing w:after="120" w:line="259" w:lineRule="auto"/>
      </w:pPr>
      <w:r>
        <w:rPr>
          <w:rFonts w:ascii="Times New Roman" w:hAnsi="Times New Roman"/>
          <w:sz w:val="21"/>
        </w:rPr>
        <w:t>What active ransomware indicators suggest that encryption or destructive activity is underway?: Active ransomware indicators include rapid encryption, deletion, or renaming of files on gateways, edge servers, or shared storage; ransom notes, locked interfaces, changed file extensions, or inaccessible device-management data; and sudden failures in dashboards, telemetry ingestion, firmware repositories, configuration databases, or automation services. Administrators should also look for high CPU, disk, or network usage on systems that store logs, backups, video, telemetry, or configurations, and outbound data transfer that may suggest exfiltration before encryption.</w:t>
      </w:r>
    </w:p>
    <w:p>
      <w:pPr>
        <w:spacing w:after="40"/>
      </w:pPr>
    </w:p>
    <w:p>
      <w:pPr>
        <w:spacing w:after="120" w:line="259" w:lineRule="auto"/>
      </w:pPr>
      <w:r>
        <w:rPr>
          <w:rFonts w:ascii="Times New Roman" w:hAnsi="Times New Roman"/>
          <w:sz w:val="21"/>
        </w:rPr>
        <w:t>How should assets be triaged and prioritized during a ransomware incident affecting IoT operations?: Administrators should classify affected assets by operational importance, spread risk, and recovery dependency. Highest priority assets include identity systems, backup servers, management consoles, gateway controllers, telemetry pipelines, firmware repositories, and systems controlling physical processes. Second priority assets include file shares, log servers, dashboards, edge analytics systems, and application servers that support administration. Lower priority assets are isolated endpoints that do not provide credentials, shared storage, control-plane access, or lateral movement paths. Triage should identify which systems are encrypted, which are suspicious but not yet encrypted, which backups remain safe, and which credentials could allow continued attacker access.</w:t>
      </w:r>
    </w:p>
    <w:p>
      <w:pPr>
        <w:spacing w:after="40"/>
      </w:pPr>
    </w:p>
    <w:p>
      <w:pPr>
        <w:spacing w:after="120" w:line="259" w:lineRule="auto"/>
      </w:pPr>
      <w:r>
        <w:rPr>
          <w:rFonts w:ascii="Times New Roman" w:hAnsi="Times New Roman"/>
          <w:sz w:val="21"/>
        </w:rPr>
        <w:t>What should the administrator investigate to determine the initial ransomware access path?: The administrator should review VPN, remote desktop, SSH, web portal, cloud dashboard, and management-console authentication records. The investigation should check for exploitation of unpatched services, exposed management interfaces, weak passwords, or reused credentials. Recent administrative actions, software installations, firmware updates, and configuration changes should also be inspected to determine how the attacker entered the environment.</w:t>
      </w:r>
    </w:p>
    <w:p>
      <w:pPr>
        <w:spacing w:after="40"/>
      </w:pPr>
    </w:p>
    <w:p>
      <w:pPr>
        <w:spacing w:after="120" w:line="259" w:lineRule="auto"/>
      </w:pPr>
      <w:r>
        <w:rPr>
          <w:rFonts w:ascii="Times New Roman" w:hAnsi="Times New Roman"/>
          <w:sz w:val="21"/>
        </w:rPr>
        <w:t>How should spread, impact, and backup integrity be investigated after ransomware detection?: The administrator should identify all encrypted systems, systems with suspicious file activity, and systems contacted by affected endpoints. Logs from gateways, switches, firewalls, DNS servers, identity systems, backup platforms, and storage services should be reviewed. The administrator should check whether backups, snapshots, logs, firmware repositories, or configuration stores were modified or deleted, and look for staging directories, archive files, unusual outbound transfer, or connections to unapproved storage services.</w:t>
      </w:r>
    </w:p>
    <w:p>
      <w:pPr>
        <w:spacing w:after="40"/>
      </w:pPr>
    </w:p>
    <w:p>
      <w:pPr>
        <w:spacing w:after="120" w:line="259" w:lineRule="auto"/>
      </w:pPr>
      <w:r>
        <w:rPr>
          <w:rFonts w:ascii="Times New Roman" w:hAnsi="Times New Roman"/>
          <w:sz w:val="21"/>
        </w:rPr>
        <w:t>What persistence and credential-exposure checks should be performed during ransomware response?: The administrator should search for new users, new keys, scheduled tasks, startup services, altered group memberships, and remote access tools. Credentials for accounts used on affected systems and accounts that share privileges across the IoT environment should be rotated. Service accounts used by backup jobs, device-management platforms, telemetry collectors, and firmware update systems should be reviewed because exposed credentials can allow continued attacker access or reinfection after restoration.</w:t>
      </w:r>
    </w:p>
    <w:p>
      <w:pPr>
        <w:spacing w:after="40"/>
      </w:pPr>
    </w:p>
    <w:p>
      <w:pPr>
        <w:spacing w:after="120" w:line="259" w:lineRule="auto"/>
      </w:pPr>
      <w:r>
        <w:rPr>
          <w:rFonts w:ascii="Times New Roman" w:hAnsi="Times New Roman"/>
          <w:sz w:val="21"/>
        </w:rPr>
        <w:t>What eradication steps should be completed before ransomware-affected systems are returned to production?: The administrator should remove or rebuild compromised systems from trusted installation media or verified firmware images, patch exploited services, and disable unnecessary remote access. Unauthorized accounts, remote tools, scheduled tasks, malicious services, and suspicious scripts should be removed. Administrator credentials, service account secrets, API keys, certificates, VPN credentials, and cloud tokens should be rotated. Firewall and segmentation rules should be reconfigured to prevent unnecessary device-to-device and device-to-storage access. Backup platforms and storage systems should be verified as uncompromised before they are used for restoration.</w:t>
      </w:r>
    </w:p>
    <w:p>
      <w:pPr>
        <w:spacing w:after="40"/>
      </w:pPr>
    </w:p>
    <w:p>
      <w:pPr>
        <w:spacing w:after="120" w:line="259" w:lineRule="auto"/>
      </w:pPr>
      <w:r>
        <w:rPr>
          <w:rFonts w:ascii="Times New Roman" w:hAnsi="Times New Roman"/>
          <w:sz w:val="21"/>
        </w:rPr>
        <w:t>How should recovery be performed after ransomware containment and eradication?: Recovery should prioritize trusted restoration over rapid restoration. Backups should be validated before restoration to confirm that backup copies predate the compromise and can be restored without malicious files or altered configurations. Identity, management, backup, and monitoring services should be restored before dependent device services. Gateways, controllers, dashboards, telemetry services, and storage should be restored in a controlled order. Devices should be reconnected gradually and monitored for renewed encryption, suspicious authentication, or abnormal file activity. Device functions, automation rules, telemetry collection, logging, and administrative access should be verified after restoration.</w:t>
      </w:r>
    </w:p>
    <w:p>
      <w:pPr>
        <w:spacing w:after="40"/>
      </w:pPr>
    </w:p>
    <w:p>
      <w:pPr>
        <w:spacing w:after="120" w:line="259" w:lineRule="auto"/>
      </w:pPr>
      <w:r>
        <w:rPr>
          <w:rFonts w:ascii="Times New Roman" w:hAnsi="Times New Roman"/>
          <w:sz w:val="21"/>
        </w:rPr>
        <w:t>What backup and long-term hardening practices improve resilience against future ransomware incidents?: The environment should maintain offline or immutable backups for critical configurations, logs, firmware images, device inventories, and management systems. Backup credentials should be separated from production administrator credentials, restoration should be tested regularly, and backup consoles should be protected with multi-factor authentication and strict administrative access. Long-term hardening should segment IoT devices, management systems, storage, backup networks, and user workstations; apply least-privilege access; require multi-factor authentication for VPN, cloud dashboards, management portals, and backup platforms; patch gateways and management services promptly; disable unused services and direct internet exposure; centralize logs; and monitor mass file operations, abnormal credential use, disabled security controls, and rapid data transfer.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