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E6DB" w14:textId="7581C2D8" w:rsidR="00927902" w:rsidRDefault="00351524" w:rsidP="00927902">
      <w:pPr>
        <w:rPr>
          <w:rFonts w:hint="eastAsia"/>
        </w:rPr>
      </w:pPr>
      <w:r w:rsidRPr="00351524">
        <w:rPr>
          <w:rFonts w:hint="eastAsia"/>
        </w:rPr>
        <w:t xml:space="preserve">Traditional frequency-domain methods face limitations in handling non-smooth industrial signals. </w:t>
      </w:r>
      <w:proofErr w:type="spellStart"/>
      <w:r w:rsidRPr="00351524">
        <w:rPr>
          <w:rFonts w:hint="eastAsia"/>
        </w:rPr>
        <w:t>Yemets</w:t>
      </w:r>
      <w:proofErr w:type="spellEnd"/>
      <w:r w:rsidRPr="00351524">
        <w:rPr>
          <w:rFonts w:hint="eastAsia"/>
        </w:rPr>
        <w:t xml:space="preserve"> et al. [1] proposed an FFT-transformer hybrid model for time series forecasting, achieving 89% accuracy in gearbox fault classification through amplitude-phase feature integration. However, FFT's fixed resolution and poor time-frequency localization hinder its adaptability in dynamic environments [2]. To address spectral leakage issues, early improvements like the Short-Time Fourier Transform (STFT) attempted time-frequency localization by applying sliding windows. For instance, Gupta et al. [3] combined STFT with intra-pulse modulation analysis for signal decomposition, yet its fixed window size failed to adapt to varying signal scales in robotic systems. More recently, Lei and Wang [2] developed DWT-</w:t>
      </w:r>
      <w:proofErr w:type="spellStart"/>
      <w:r w:rsidRPr="00351524">
        <w:rPr>
          <w:rFonts w:hint="eastAsia"/>
        </w:rPr>
        <w:t>TimesNet</w:t>
      </w:r>
      <w:proofErr w:type="spellEnd"/>
      <w:r w:rsidRPr="00351524">
        <w:rPr>
          <w:rFonts w:hint="eastAsia"/>
        </w:rPr>
        <w:t xml:space="preserve"> for agricultural forecasting, replacing FFT with wavelet transform for multi-resolution analysis and introducing dynamic thresholding to filter valid cycles. While effective in agricultural scenarios, these wavelet-based methods lack validation in industrial fault diagnosis.</w:t>
      </w:r>
    </w:p>
    <w:p w14:paraId="1B579E1B" w14:textId="77777777" w:rsidR="00E73CAA" w:rsidRDefault="00E73CAA" w:rsidP="00560C0C">
      <w:pPr>
        <w:rPr>
          <w:rFonts w:hint="eastAsia"/>
        </w:rPr>
      </w:pPr>
    </w:p>
    <w:p w14:paraId="496A3AF1" w14:textId="77777777" w:rsidR="00EC2B63" w:rsidRDefault="00EC2B63" w:rsidP="00EC2B63">
      <w:pPr>
        <w:rPr>
          <w:rFonts w:hint="eastAsia"/>
        </w:rPr>
      </w:pPr>
      <w:r>
        <w:rPr>
          <w:rFonts w:hint="eastAsia"/>
        </w:rPr>
        <w:t xml:space="preserve">In recent years, deep learning methods have emerged as powerful tools for automatic feature extraction, offering superior performance in capturing intricate patterns within time series data. The integration of FFT-based feature extraction with deep neural networks, such as transformers, has shown promising results. For example, </w:t>
      </w:r>
      <w:proofErr w:type="spellStart"/>
      <w:r>
        <w:rPr>
          <w:rFonts w:hint="eastAsia"/>
        </w:rPr>
        <w:t>Gashler</w:t>
      </w:r>
      <w:proofErr w:type="spellEnd"/>
      <w:r>
        <w:rPr>
          <w:rFonts w:hint="eastAsia"/>
        </w:rPr>
        <w:t xml:space="preserve"> et al. [3] explored the use of deep Fourier neural networks, demonstrating their potential in time series modeling. </w:t>
      </w:r>
    </w:p>
    <w:p w14:paraId="7A0BA43E" w14:textId="77777777" w:rsidR="00E73CAA" w:rsidRPr="00EC2B63" w:rsidRDefault="00E73CAA" w:rsidP="00560C0C">
      <w:pPr>
        <w:rPr>
          <w:rFonts w:hint="eastAsia"/>
        </w:rPr>
      </w:pPr>
    </w:p>
    <w:p w14:paraId="086CB7A2" w14:textId="77777777" w:rsidR="00E73CAA" w:rsidRDefault="00E73CAA" w:rsidP="00560C0C">
      <w:pPr>
        <w:rPr>
          <w:rFonts w:hint="eastAsia"/>
        </w:rPr>
      </w:pPr>
    </w:p>
    <w:p w14:paraId="04C275E8" w14:textId="578522B0" w:rsidR="00560C0C" w:rsidRPr="00927902" w:rsidRDefault="001C042A" w:rsidP="00560C0C">
      <w:pPr>
        <w:rPr>
          <w:rFonts w:hint="eastAsia"/>
        </w:rPr>
      </w:pPr>
      <w:r w:rsidRPr="001C042A">
        <w:rPr>
          <w:rFonts w:hint="eastAsia"/>
        </w:rPr>
        <w:t xml:space="preserve">Traditional frequency-domain methods face limitations in handling non-smooth industrial signals. </w:t>
      </w:r>
      <w:proofErr w:type="spellStart"/>
      <w:r w:rsidRPr="001C042A">
        <w:rPr>
          <w:rFonts w:hint="eastAsia"/>
        </w:rPr>
        <w:t>Yemets</w:t>
      </w:r>
      <w:proofErr w:type="spellEnd"/>
      <w:r w:rsidRPr="001C042A">
        <w:rPr>
          <w:rFonts w:hint="eastAsia"/>
        </w:rPr>
        <w:t xml:space="preserve"> et al. [1] proposed an FFT-transformer hybrid model for time series forecasting, achieving 89% accuracy in gearbox fault classification through amplitude-phase feature integration. However, FFT's fixed resolution and poor time-frequency localization hinder its adaptability in dynamic environments [2]. To address spectral leakage issues, early improvements like the Short-Time Fourier Transform (STFT) attempted time-frequency localization through sliding windows. For instance, Tu et al. [3] developed the STFT-TCAN model, combining STFT with Temporal Convolutional Networks (TCN) and attention mechanisms to extract multivariate time series features. Their approach constructs frequency matrices via STFT and applies TCAN modules to capture both temporal dynamics and frequency-domain anomalies, achieving state-of-the-art performance on industrial datasets. However, STFT's fixed window size still limits adaptability to varying signal scales in robotic systems [3]. More </w:t>
      </w:r>
      <w:r w:rsidRPr="001C042A">
        <w:rPr>
          <w:rFonts w:hint="eastAsia"/>
        </w:rPr>
        <w:lastRenderedPageBreak/>
        <w:t>recently, Lei and Wang [2] developed DWT-</w:t>
      </w:r>
      <w:proofErr w:type="spellStart"/>
      <w:r w:rsidRPr="001C042A">
        <w:rPr>
          <w:rFonts w:hint="eastAsia"/>
        </w:rPr>
        <w:t>TimesNet</w:t>
      </w:r>
      <w:proofErr w:type="spellEnd"/>
      <w:r w:rsidRPr="001C042A">
        <w:rPr>
          <w:rFonts w:hint="eastAsia"/>
        </w:rPr>
        <w:t xml:space="preserve"> for agricultural forecasting, replacing FFT with wavelet transform for multi-resolution analysis and introducing dynamic thresholding to filter valid cycles. While effective in agricultural scenarios, these wavelet-based methods lack validation in industrial fault diagnosis.</w:t>
      </w:r>
    </w:p>
    <w:p w14:paraId="33320366" w14:textId="77777777" w:rsidR="00560C0C" w:rsidRDefault="00560C0C" w:rsidP="00560C0C">
      <w:pPr>
        <w:rPr>
          <w:rFonts w:hint="eastAsia"/>
        </w:rPr>
      </w:pPr>
    </w:p>
    <w:p w14:paraId="2F53DC59" w14:textId="757A5051" w:rsidR="004D0E0B" w:rsidRDefault="004D0E0B" w:rsidP="00BA61BC">
      <w:pPr>
        <w:rPr>
          <w:rFonts w:hint="eastAsia"/>
        </w:rPr>
      </w:pPr>
    </w:p>
    <w:p w14:paraId="1A73F5D0" w14:textId="0A5F0C51" w:rsidR="00A17666" w:rsidRDefault="0073264C" w:rsidP="00BA61BC">
      <w:pPr>
        <w:rPr>
          <w:rFonts w:hint="eastAsia"/>
        </w:rPr>
      </w:pPr>
      <w:r w:rsidRPr="0073264C">
        <w:t xml:space="preserve">While traditional frequency-domain methods like FFT </w:t>
      </w:r>
      <w:r>
        <w:rPr>
          <w:rFonts w:hint="eastAsia"/>
        </w:rPr>
        <w:t>[</w:t>
      </w:r>
      <w:r w:rsidRPr="0073264C">
        <w:t>1</w:t>
      </w:r>
      <w:r>
        <w:rPr>
          <w:rFonts w:hint="eastAsia"/>
        </w:rPr>
        <w:t>]</w:t>
      </w:r>
      <w:r w:rsidRPr="0073264C">
        <w:t xml:space="preserve"> and STFT </w:t>
      </w:r>
      <w:r>
        <w:rPr>
          <w:rFonts w:hint="eastAsia"/>
        </w:rPr>
        <w:t>[</w:t>
      </w:r>
      <w:r w:rsidRPr="0073264C">
        <w:t>3</w:t>
      </w:r>
      <w:r>
        <w:rPr>
          <w:rFonts w:hint="eastAsia"/>
        </w:rPr>
        <w:t>]</w:t>
      </w:r>
      <w:r w:rsidRPr="0073264C">
        <w:t xml:space="preserve"> struggle with nonlinear nonstationary signals, deep learning architectures enable end-to-end feature learning through adaptive temporal convolution and self-attention mechanisms. To address the limitations of rigid spectral transforms, convolutional neural networks (CNNs) have been widely adopted for local pattern extraction. For instance, Cao et al. </w:t>
      </w:r>
      <w:r>
        <w:rPr>
          <w:rFonts w:hint="eastAsia"/>
        </w:rPr>
        <w:t>[</w:t>
      </w:r>
      <w:r w:rsidRPr="0073264C">
        <w:t>5</w:t>
      </w:r>
      <w:r>
        <w:rPr>
          <w:rFonts w:hint="eastAsia"/>
        </w:rPr>
        <w:t>]</w:t>
      </w:r>
      <w:r w:rsidRPr="0073264C">
        <w:t xml:space="preserve"> demonstrated that TCN-Transformer hybrid models suppress noise in rolling bearing degradation indices through dilated convolutions, achieving robust fault classification in gearbox applications. However, CNN-based approaches often fail to capture long-range dependencies critical for multivariate industrial signals. To bridge this gap, Fang et al. </w:t>
      </w:r>
      <w:r>
        <w:rPr>
          <w:rFonts w:hint="eastAsia"/>
        </w:rPr>
        <w:t>[6]</w:t>
      </w:r>
      <w:r w:rsidRPr="0073264C">
        <w:t xml:space="preserve"> proposed a convolution-augmented Transformer (TWC) that combines local feature extraction via convolutional layers with self-attention for global interaction modeling, demonstrating superior performance in aircraft engine bearing diagnosis. Despite their effectiveness, vanilla Transformers suffer from quadratic computational complexity and positional ambiguity in </w:t>
      </w:r>
      <w:proofErr w:type="gramStart"/>
      <w:r w:rsidRPr="0073264C">
        <w:t>time</w:t>
      </w:r>
      <w:proofErr w:type="gramEnd"/>
      <w:r w:rsidRPr="0073264C">
        <w:t xml:space="preserve"> series tasks. Concurrently, LSTM-attention hybrids </w:t>
      </w:r>
      <w:r>
        <w:rPr>
          <w:rFonts w:hint="eastAsia"/>
        </w:rPr>
        <w:t>[</w:t>
      </w:r>
      <w:r w:rsidRPr="0073264C">
        <w:t>9</w:t>
      </w:r>
      <w:r>
        <w:rPr>
          <w:rFonts w:hint="eastAsia"/>
        </w:rPr>
        <w:t>]</w:t>
      </w:r>
      <w:r w:rsidRPr="0073264C">
        <w:t xml:space="preserve"> have shown promise in handling temporal dynamics, with </w:t>
      </w:r>
      <w:proofErr w:type="spellStart"/>
      <w:r w:rsidRPr="0073264C">
        <w:t>Khaniki</w:t>
      </w:r>
      <w:proofErr w:type="spellEnd"/>
      <w:r w:rsidRPr="0073264C">
        <w:t xml:space="preserve"> et al. </w:t>
      </w:r>
      <w:r>
        <w:rPr>
          <w:rFonts w:hint="eastAsia"/>
        </w:rPr>
        <w:t>[</w:t>
      </w:r>
      <w:r w:rsidRPr="0073264C">
        <w:t>10</w:t>
      </w:r>
      <w:r>
        <w:rPr>
          <w:rFonts w:hint="eastAsia"/>
        </w:rPr>
        <w:t>]</w:t>
      </w:r>
      <w:r w:rsidRPr="0073264C">
        <w:t xml:space="preserve"> validating the efficacy of attention mechanisms in enhancing discriminative fault signature identification for induction motors. </w:t>
      </w:r>
    </w:p>
    <w:p w14:paraId="3105CE95" w14:textId="77777777" w:rsidR="00BA61BC" w:rsidRDefault="00BA61BC" w:rsidP="00BA61BC">
      <w:pPr>
        <w:rPr>
          <w:rFonts w:hint="eastAsia"/>
        </w:rPr>
      </w:pPr>
    </w:p>
    <w:p w14:paraId="781922D4" w14:textId="666CFEED" w:rsidR="00292A65" w:rsidRDefault="00BA61BC" w:rsidP="0087372B">
      <w:r>
        <w:rPr>
          <w:rFonts w:hint="eastAsia"/>
        </w:rPr>
        <w:t xml:space="preserve">Despite these advancements, traditional deep learning models still face challenges in handling high-dimensional and noisy data. Recent studies have introduced novel patch-based representations to enhance feature extraction. </w:t>
      </w:r>
      <w:r w:rsidR="0087372B" w:rsidRPr="0087372B">
        <w:t xml:space="preserve">For example, </w:t>
      </w:r>
      <w:r w:rsidR="00440401" w:rsidRPr="00440401">
        <w:t xml:space="preserve">Gong et al. [8] proposed </w:t>
      </w:r>
      <w:proofErr w:type="spellStart"/>
      <w:proofErr w:type="gramStart"/>
      <w:r w:rsidR="00440401" w:rsidRPr="00440401">
        <w:t>PatchMixer</w:t>
      </w:r>
      <w:proofErr w:type="spellEnd"/>
      <w:r w:rsidR="00440401" w:rsidRPr="00440401">
        <w:t xml:space="preserve"> ,</w:t>
      </w:r>
      <w:proofErr w:type="gramEnd"/>
      <w:r w:rsidR="00440401" w:rsidRPr="00440401">
        <w:t xml:space="preserve"> which segments time series into local patches processed via </w:t>
      </w:r>
      <w:proofErr w:type="spellStart"/>
      <w:r w:rsidR="00440401" w:rsidRPr="00440401">
        <w:t>depthwise</w:t>
      </w:r>
      <w:proofErr w:type="spellEnd"/>
      <w:r w:rsidR="00440401" w:rsidRPr="00440401">
        <w:t xml:space="preserve"> separable convolutions, enabling efficient intra-variable dependency modeling without positional encoding. This approach inspired Wang et al. [11] to develop MP-</w:t>
      </w:r>
      <w:proofErr w:type="spellStart"/>
      <w:proofErr w:type="gramStart"/>
      <w:r w:rsidR="00440401" w:rsidRPr="00440401">
        <w:t>MixerNet</w:t>
      </w:r>
      <w:proofErr w:type="spellEnd"/>
      <w:r w:rsidR="00440401" w:rsidRPr="00440401">
        <w:t xml:space="preserve"> ,</w:t>
      </w:r>
      <w:proofErr w:type="gramEnd"/>
      <w:r w:rsidR="00440401" w:rsidRPr="00440401">
        <w:t xml:space="preserve"> integrating dual-scale context modeling and dynamic instance normalization to enhance robustness against distribution shifts in anomaly detection. Building on these foundations, Cao et al. [12] advanced multi-scale adaptability through </w:t>
      </w:r>
      <w:proofErr w:type="spellStart"/>
      <w:proofErr w:type="gramStart"/>
      <w:r w:rsidR="00440401" w:rsidRPr="00440401">
        <w:t>MSPatch</w:t>
      </w:r>
      <w:proofErr w:type="spellEnd"/>
      <w:r w:rsidR="00440401" w:rsidRPr="00440401">
        <w:t xml:space="preserve"> ,</w:t>
      </w:r>
      <w:proofErr w:type="gramEnd"/>
      <w:r w:rsidR="00440401" w:rsidRPr="00440401">
        <w:t xml:space="preserve"> decomposing time series into hierarchical patches with dynamic weight allocation to balance local-global feature interactions. While these methods significantly improve feature extraction efficiency, they remain constrained by interrelated </w:t>
      </w:r>
      <w:proofErr w:type="gramStart"/>
      <w:r w:rsidR="00440401" w:rsidRPr="00440401">
        <w:lastRenderedPageBreak/>
        <w:t>limitations :</w:t>
      </w:r>
      <w:proofErr w:type="gramEnd"/>
      <w:r w:rsidR="00440401" w:rsidRPr="00440401">
        <w:t xml:space="preserve"> neglect of cross-patch heterogeneous interactions, rigidity in adapting to dynamic fault evolution, and an inability to explicitly model high-order variable correlations.</w:t>
      </w:r>
    </w:p>
    <w:p w14:paraId="2207010C" w14:textId="77777777" w:rsidR="00C63277" w:rsidRDefault="00C63277" w:rsidP="0087372B"/>
    <w:p w14:paraId="3D16DAE9" w14:textId="77777777" w:rsidR="00C63277" w:rsidRDefault="00C63277" w:rsidP="0087372B"/>
    <w:p w14:paraId="0ADD051C" w14:textId="77777777" w:rsidR="00C63277" w:rsidRDefault="00C63277" w:rsidP="0087372B"/>
    <w:p w14:paraId="7B3F887E" w14:textId="77777777" w:rsidR="00C63277" w:rsidRDefault="00C63277" w:rsidP="00C63277">
      <w:pPr>
        <w:rPr>
          <w:rFonts w:hint="eastAsia"/>
        </w:rPr>
      </w:pPr>
      <w:r>
        <w:rPr>
          <w:rFonts w:hint="eastAsia"/>
        </w:rPr>
        <w:t>Graph Neural Networks (GNNs) have become a cornerstone in modeling relational data, offering a natural way to represent interactions between entities as nodes and edges in a graph. Traditional GNNs, such as Graph Convolutional Networks (GCNs) \</w:t>
      </w:r>
      <w:proofErr w:type="gramStart"/>
      <w:r>
        <w:rPr>
          <w:rFonts w:hint="eastAsia"/>
        </w:rPr>
        <w:t>cite{</w:t>
      </w:r>
      <w:proofErr w:type="gramEnd"/>
      <w:r>
        <w:rPr>
          <w:rFonts w:hint="eastAsia"/>
        </w:rPr>
        <w:t xml:space="preserve">Kipf2016} and Graph Attention Networks (GATs) \cite{Velic2017}, have been widely adopted for fault diagnosis tasks due to their ability to capture pairwise relationships. </w:t>
      </w:r>
    </w:p>
    <w:p w14:paraId="0A629DC3" w14:textId="77777777" w:rsidR="00AF1D38" w:rsidRDefault="0052715D" w:rsidP="00C63277">
      <w:r w:rsidRPr="0052715D">
        <w:t xml:space="preserve">Chen et al. [1] introduced the Interaction-Aware GNN (IAGNN), which represents sensor signals as a heterogeneous graph with adaptive edge weights via attention mechanisms, enabling dynamic fault propagation modeling. While IAGNN processes subgraphs for distinct interactions, it remains confined to pairwise relationships. Babu et al. [40] extended this by integrating GNNs with LSTMs to model spatial-temporal dependencies in wind turbine data, though predefined sensor relationships hinder higher-order correlation learning. Zhu et al. [47] proposed a Dual-Contrastive Multiview GAT (DMGAT) that combines multi-view contrastive learning with dynamic adjacency matrix optimization, enhancing robustness to distribution shifts. </w:t>
      </w:r>
      <w:r w:rsidR="00703F42" w:rsidRPr="00703F42">
        <w:t>Despite these improvements, existing GNN variants fail to explicitly represent multi-component interactions due to their pairwise-centric design. These limitations highlight the need for hypergraph neural networks (</w:t>
      </w:r>
      <w:proofErr w:type="gramStart"/>
      <w:r w:rsidR="00703F42" w:rsidRPr="00703F42">
        <w:t>HGNNs)  which</w:t>
      </w:r>
      <w:proofErr w:type="gramEnd"/>
      <w:r w:rsidR="00703F42" w:rsidRPr="00703F42">
        <w:t xml:space="preserve"> generalize graph structures to model high-order interactions through multi-node hyperedges, enabling adaptive fault propagation analysis in complex industrial environments.</w:t>
      </w:r>
      <w:r w:rsidR="00AF1D38" w:rsidRPr="00AF1D38">
        <w:rPr>
          <w:rFonts w:ascii="Arial" w:hAnsi="Arial" w:cs="Arial"/>
          <w:color w:val="2C2C36"/>
          <w:spacing w:val="5"/>
          <w:shd w:val="clear" w:color="auto" w:fill="FFFFFF"/>
        </w:rPr>
        <w:t xml:space="preserve"> </w:t>
      </w:r>
      <w:r w:rsidR="00AF1D38" w:rsidRPr="00AF1D38">
        <w:t xml:space="preserve">Yan et al. [28] pioneered </w:t>
      </w:r>
      <w:proofErr w:type="spellStart"/>
      <w:r w:rsidR="00AF1D38" w:rsidRPr="00AF1D38">
        <w:t>multisensor</w:t>
      </w:r>
      <w:proofErr w:type="spellEnd"/>
      <w:r w:rsidR="00AF1D38" w:rsidRPr="00AF1D38">
        <w:t xml:space="preserve"> fusion on hypergraphs by constructing dual-scale residual networks with adaptive hyperedge weighting, capturing both local component behaviors and global system dependencies in heterogeneous sensor data. Building on this, Xia et al. [28] introduced Res-HGCN, integrating residual connections with model-driven hypergraph initialization based on equipment physics to enhance interpretability and stabilize deep architecture training. To address noise interference and small-sample challenges, Lei et al. [48] proposed WC-HGCN, a dual-channel framework combining wavelet convolution for time-frequency feature extraction with hypergraph convolution for dynamic cross-sensor correlation aggregation. </w:t>
      </w:r>
    </w:p>
    <w:p w14:paraId="4A81184C" w14:textId="7702A14B" w:rsidR="00AF1D38" w:rsidRDefault="00AF1D38" w:rsidP="00AF1D38">
      <w:pPr>
        <w:ind w:firstLine="420"/>
      </w:pPr>
      <w:r w:rsidRPr="00AF1D38">
        <w:rPr>
          <w:rFonts w:hint="eastAsia"/>
        </w:rPr>
        <w:t>While HGNNs offer a powerful framework for modeling high-order relationships, their performance heavily relies on the quality of the underlying hypergraph structure.</w:t>
      </w:r>
      <w:r w:rsidRPr="00AF1D38">
        <w:rPr>
          <w:rFonts w:hint="eastAsia"/>
        </w:rPr>
        <w:t xml:space="preserve"> </w:t>
      </w:r>
      <w:r w:rsidRPr="00AF1D38">
        <w:rPr>
          <w:rFonts w:hint="eastAsia"/>
        </w:rPr>
        <w:lastRenderedPageBreak/>
        <w:t>In real-world applications, the initial hypergraph structure is often noisy or incomplete, containing erroneous connections or missing critical relationships. To address this issue,</w:t>
      </w:r>
    </w:p>
    <w:p w14:paraId="623BA792" w14:textId="622C1B95" w:rsidR="00C63277" w:rsidRDefault="00C63277" w:rsidP="00C63277">
      <w:pPr>
        <w:rPr>
          <w:rFonts w:hint="eastAsia"/>
        </w:rPr>
      </w:pPr>
    </w:p>
    <w:sectPr w:rsidR="00C632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503A" w14:textId="77777777" w:rsidR="00410D67" w:rsidRDefault="00410D67" w:rsidP="00A17666">
      <w:pPr>
        <w:spacing w:after="0" w:line="240" w:lineRule="auto"/>
        <w:rPr>
          <w:rFonts w:hint="eastAsia"/>
        </w:rPr>
      </w:pPr>
      <w:r>
        <w:separator/>
      </w:r>
    </w:p>
  </w:endnote>
  <w:endnote w:type="continuationSeparator" w:id="0">
    <w:p w14:paraId="09AF5E99" w14:textId="77777777" w:rsidR="00410D67" w:rsidRDefault="00410D67" w:rsidP="00A176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98B1" w14:textId="77777777" w:rsidR="00410D67" w:rsidRDefault="00410D67" w:rsidP="00A17666">
      <w:pPr>
        <w:spacing w:after="0" w:line="240" w:lineRule="auto"/>
        <w:rPr>
          <w:rFonts w:hint="eastAsia"/>
        </w:rPr>
      </w:pPr>
      <w:r>
        <w:separator/>
      </w:r>
    </w:p>
  </w:footnote>
  <w:footnote w:type="continuationSeparator" w:id="0">
    <w:p w14:paraId="55DCDB8D" w14:textId="77777777" w:rsidR="00410D67" w:rsidRDefault="00410D67" w:rsidP="00A1766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BC"/>
    <w:rsid w:val="000F408F"/>
    <w:rsid w:val="00112C4E"/>
    <w:rsid w:val="00187113"/>
    <w:rsid w:val="001C042A"/>
    <w:rsid w:val="00292A65"/>
    <w:rsid w:val="002D669E"/>
    <w:rsid w:val="00351524"/>
    <w:rsid w:val="00410D67"/>
    <w:rsid w:val="00440401"/>
    <w:rsid w:val="004427B4"/>
    <w:rsid w:val="00456F10"/>
    <w:rsid w:val="004D0E0B"/>
    <w:rsid w:val="004D226F"/>
    <w:rsid w:val="00525344"/>
    <w:rsid w:val="0052715D"/>
    <w:rsid w:val="00560C0C"/>
    <w:rsid w:val="00703F42"/>
    <w:rsid w:val="00712081"/>
    <w:rsid w:val="00713D34"/>
    <w:rsid w:val="0073264C"/>
    <w:rsid w:val="007440EA"/>
    <w:rsid w:val="0087372B"/>
    <w:rsid w:val="008935BA"/>
    <w:rsid w:val="008A4CE0"/>
    <w:rsid w:val="00927902"/>
    <w:rsid w:val="00A17666"/>
    <w:rsid w:val="00AF1D38"/>
    <w:rsid w:val="00BA61BC"/>
    <w:rsid w:val="00C63277"/>
    <w:rsid w:val="00CE7F9B"/>
    <w:rsid w:val="00DA36B3"/>
    <w:rsid w:val="00E73CAA"/>
    <w:rsid w:val="00EC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2739"/>
  <w15:chartTrackingRefBased/>
  <w15:docId w15:val="{4F54E4AE-726B-45A1-A226-093A5F81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61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61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61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61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61B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61B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61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61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61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1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61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61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61BC"/>
    <w:rPr>
      <w:rFonts w:cstheme="majorBidi"/>
      <w:color w:val="0F4761" w:themeColor="accent1" w:themeShade="BF"/>
      <w:sz w:val="28"/>
      <w:szCs w:val="28"/>
    </w:rPr>
  </w:style>
  <w:style w:type="character" w:customStyle="1" w:styleId="50">
    <w:name w:val="标题 5 字符"/>
    <w:basedOn w:val="a0"/>
    <w:link w:val="5"/>
    <w:uiPriority w:val="9"/>
    <w:semiHidden/>
    <w:rsid w:val="00BA61BC"/>
    <w:rPr>
      <w:rFonts w:cstheme="majorBidi"/>
      <w:color w:val="0F4761" w:themeColor="accent1" w:themeShade="BF"/>
      <w:sz w:val="24"/>
    </w:rPr>
  </w:style>
  <w:style w:type="character" w:customStyle="1" w:styleId="60">
    <w:name w:val="标题 6 字符"/>
    <w:basedOn w:val="a0"/>
    <w:link w:val="6"/>
    <w:uiPriority w:val="9"/>
    <w:semiHidden/>
    <w:rsid w:val="00BA61BC"/>
    <w:rPr>
      <w:rFonts w:cstheme="majorBidi"/>
      <w:b/>
      <w:bCs/>
      <w:color w:val="0F4761" w:themeColor="accent1" w:themeShade="BF"/>
    </w:rPr>
  </w:style>
  <w:style w:type="character" w:customStyle="1" w:styleId="70">
    <w:name w:val="标题 7 字符"/>
    <w:basedOn w:val="a0"/>
    <w:link w:val="7"/>
    <w:uiPriority w:val="9"/>
    <w:semiHidden/>
    <w:rsid w:val="00BA61BC"/>
    <w:rPr>
      <w:rFonts w:cstheme="majorBidi"/>
      <w:b/>
      <w:bCs/>
      <w:color w:val="595959" w:themeColor="text1" w:themeTint="A6"/>
    </w:rPr>
  </w:style>
  <w:style w:type="character" w:customStyle="1" w:styleId="80">
    <w:name w:val="标题 8 字符"/>
    <w:basedOn w:val="a0"/>
    <w:link w:val="8"/>
    <w:uiPriority w:val="9"/>
    <w:semiHidden/>
    <w:rsid w:val="00BA61BC"/>
    <w:rPr>
      <w:rFonts w:cstheme="majorBidi"/>
      <w:color w:val="595959" w:themeColor="text1" w:themeTint="A6"/>
    </w:rPr>
  </w:style>
  <w:style w:type="character" w:customStyle="1" w:styleId="90">
    <w:name w:val="标题 9 字符"/>
    <w:basedOn w:val="a0"/>
    <w:link w:val="9"/>
    <w:uiPriority w:val="9"/>
    <w:semiHidden/>
    <w:rsid w:val="00BA61BC"/>
    <w:rPr>
      <w:rFonts w:eastAsiaTheme="majorEastAsia" w:cstheme="majorBidi"/>
      <w:color w:val="595959" w:themeColor="text1" w:themeTint="A6"/>
    </w:rPr>
  </w:style>
  <w:style w:type="paragraph" w:styleId="a3">
    <w:name w:val="Title"/>
    <w:basedOn w:val="a"/>
    <w:next w:val="a"/>
    <w:link w:val="a4"/>
    <w:uiPriority w:val="10"/>
    <w:qFormat/>
    <w:rsid w:val="00BA61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1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1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61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1BC"/>
    <w:pPr>
      <w:spacing w:before="160"/>
      <w:jc w:val="center"/>
    </w:pPr>
    <w:rPr>
      <w:i/>
      <w:iCs/>
      <w:color w:val="404040" w:themeColor="text1" w:themeTint="BF"/>
    </w:rPr>
  </w:style>
  <w:style w:type="character" w:customStyle="1" w:styleId="a8">
    <w:name w:val="引用 字符"/>
    <w:basedOn w:val="a0"/>
    <w:link w:val="a7"/>
    <w:uiPriority w:val="29"/>
    <w:rsid w:val="00BA61BC"/>
    <w:rPr>
      <w:i/>
      <w:iCs/>
      <w:color w:val="404040" w:themeColor="text1" w:themeTint="BF"/>
    </w:rPr>
  </w:style>
  <w:style w:type="paragraph" w:styleId="a9">
    <w:name w:val="List Paragraph"/>
    <w:basedOn w:val="a"/>
    <w:uiPriority w:val="34"/>
    <w:qFormat/>
    <w:rsid w:val="00BA61BC"/>
    <w:pPr>
      <w:ind w:left="720"/>
      <w:contextualSpacing/>
    </w:pPr>
  </w:style>
  <w:style w:type="character" w:styleId="aa">
    <w:name w:val="Intense Emphasis"/>
    <w:basedOn w:val="a0"/>
    <w:uiPriority w:val="21"/>
    <w:qFormat/>
    <w:rsid w:val="00BA61BC"/>
    <w:rPr>
      <w:i/>
      <w:iCs/>
      <w:color w:val="0F4761" w:themeColor="accent1" w:themeShade="BF"/>
    </w:rPr>
  </w:style>
  <w:style w:type="paragraph" w:styleId="ab">
    <w:name w:val="Intense Quote"/>
    <w:basedOn w:val="a"/>
    <w:next w:val="a"/>
    <w:link w:val="ac"/>
    <w:uiPriority w:val="30"/>
    <w:qFormat/>
    <w:rsid w:val="00BA6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61BC"/>
    <w:rPr>
      <w:i/>
      <w:iCs/>
      <w:color w:val="0F4761" w:themeColor="accent1" w:themeShade="BF"/>
    </w:rPr>
  </w:style>
  <w:style w:type="character" w:styleId="ad">
    <w:name w:val="Intense Reference"/>
    <w:basedOn w:val="a0"/>
    <w:uiPriority w:val="32"/>
    <w:qFormat/>
    <w:rsid w:val="00BA61BC"/>
    <w:rPr>
      <w:b/>
      <w:bCs/>
      <w:smallCaps/>
      <w:color w:val="0F4761" w:themeColor="accent1" w:themeShade="BF"/>
      <w:spacing w:val="5"/>
    </w:rPr>
  </w:style>
  <w:style w:type="paragraph" w:styleId="ae">
    <w:name w:val="header"/>
    <w:basedOn w:val="a"/>
    <w:link w:val="af"/>
    <w:uiPriority w:val="99"/>
    <w:unhideWhenUsed/>
    <w:rsid w:val="00A1766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7666"/>
    <w:rPr>
      <w:sz w:val="18"/>
      <w:szCs w:val="18"/>
    </w:rPr>
  </w:style>
  <w:style w:type="paragraph" w:styleId="af0">
    <w:name w:val="footer"/>
    <w:basedOn w:val="a"/>
    <w:link w:val="af1"/>
    <w:uiPriority w:val="99"/>
    <w:unhideWhenUsed/>
    <w:rsid w:val="00A1766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76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2025-03-11T14:28:00Z</dcterms:created>
  <dcterms:modified xsi:type="dcterms:W3CDTF">2025-03-16T21:00:00Z</dcterms:modified>
</cp:coreProperties>
</file>