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CCE3C1" w14:textId="77777777" w:rsidR="005B3664" w:rsidRDefault="005B3664" w:rsidP="00EC0A0B">
      <w:pPr>
        <w:spacing w:line="480" w:lineRule="auto"/>
        <w:jc w:val="center"/>
        <w:rPr>
          <w:rFonts w:ascii="Times New Roman" w:hAnsi="Times New Roman" w:cs="Times New Roman"/>
          <w:sz w:val="24"/>
          <w:szCs w:val="24"/>
        </w:rPr>
      </w:pPr>
    </w:p>
    <w:p w14:paraId="781192C6" w14:textId="77777777" w:rsidR="00EC0A0B" w:rsidRDefault="00EC0A0B" w:rsidP="00EC0A0B">
      <w:pPr>
        <w:spacing w:line="480" w:lineRule="auto"/>
        <w:jc w:val="center"/>
        <w:rPr>
          <w:rFonts w:ascii="Times New Roman" w:hAnsi="Times New Roman" w:cs="Times New Roman"/>
          <w:sz w:val="24"/>
          <w:szCs w:val="24"/>
        </w:rPr>
      </w:pPr>
    </w:p>
    <w:p w14:paraId="77D33495" w14:textId="77777777" w:rsidR="00EC0A0B" w:rsidRDefault="00EC0A0B" w:rsidP="00EC0A0B">
      <w:pPr>
        <w:spacing w:line="480" w:lineRule="auto"/>
        <w:jc w:val="center"/>
        <w:rPr>
          <w:rFonts w:ascii="Times New Roman" w:hAnsi="Times New Roman" w:cs="Times New Roman"/>
          <w:sz w:val="24"/>
          <w:szCs w:val="24"/>
        </w:rPr>
      </w:pPr>
    </w:p>
    <w:p w14:paraId="4E2887C4" w14:textId="77777777" w:rsidR="00D118CD" w:rsidRDefault="00D118CD" w:rsidP="00EC0A0B">
      <w:pPr>
        <w:spacing w:line="480" w:lineRule="auto"/>
        <w:jc w:val="center"/>
        <w:rPr>
          <w:rFonts w:asciiTheme="majorHAnsi" w:hAnsiTheme="majorHAnsi" w:cs="Arial"/>
          <w:b/>
          <w:bCs/>
          <w:color w:val="262626"/>
          <w:sz w:val="28"/>
          <w:szCs w:val="28"/>
          <w:shd w:val="clear" w:color="auto" w:fill="FFFFFF"/>
        </w:rPr>
      </w:pPr>
      <w:r w:rsidRPr="00D118CD">
        <w:rPr>
          <w:rFonts w:asciiTheme="majorHAnsi" w:hAnsiTheme="majorHAnsi" w:cs="Arial"/>
          <w:b/>
          <w:bCs/>
          <w:color w:val="262626"/>
          <w:sz w:val="28"/>
          <w:szCs w:val="28"/>
          <w:shd w:val="clear" w:color="auto" w:fill="FFFFFF"/>
        </w:rPr>
        <w:t>The Dangers of Change Approval Processes</w:t>
      </w:r>
    </w:p>
    <w:p w14:paraId="3EBA3E4B" w14:textId="77777777" w:rsidR="00D118CD" w:rsidRDefault="00D118CD" w:rsidP="00EC0A0B">
      <w:pPr>
        <w:spacing w:line="480" w:lineRule="auto"/>
        <w:jc w:val="center"/>
        <w:rPr>
          <w:rFonts w:asciiTheme="majorHAnsi" w:hAnsiTheme="majorHAnsi" w:cs="Arial"/>
          <w:b/>
          <w:bCs/>
          <w:color w:val="262626"/>
          <w:sz w:val="28"/>
          <w:szCs w:val="28"/>
          <w:shd w:val="clear" w:color="auto" w:fill="FFFFFF"/>
        </w:rPr>
      </w:pPr>
    </w:p>
    <w:p w14:paraId="0CD91578" w14:textId="03ED3942"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Wade Eckert</w:t>
      </w:r>
    </w:p>
    <w:p w14:paraId="3ABB849B" w14:textId="4E41F27B" w:rsidR="00EC0A0B" w:rsidRDefault="00EC0A0B"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Bellevue University</w:t>
      </w:r>
    </w:p>
    <w:p w14:paraId="4B203F06" w14:textId="5785740D" w:rsidR="00EC0A0B" w:rsidRDefault="006C414A"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CSD 380: DevOps</w:t>
      </w:r>
    </w:p>
    <w:p w14:paraId="39CD334B" w14:textId="478177AB" w:rsidR="00EC0A0B" w:rsidRPr="006C414A" w:rsidRDefault="006C414A" w:rsidP="00EC0A0B">
      <w:pPr>
        <w:spacing w:line="480" w:lineRule="auto"/>
        <w:jc w:val="center"/>
      </w:pPr>
      <w:r>
        <w:rPr>
          <w:rFonts w:ascii="Times New Roman" w:hAnsi="Times New Roman" w:cs="Times New Roman"/>
          <w:sz w:val="24"/>
          <w:szCs w:val="24"/>
        </w:rPr>
        <w:t xml:space="preserve">Professor </w:t>
      </w:r>
      <w:r w:rsidRPr="006C414A">
        <w:rPr>
          <w:rFonts w:ascii="Times New Roman" w:hAnsi="Times New Roman" w:cs="Times New Roman"/>
          <w:sz w:val="24"/>
          <w:szCs w:val="24"/>
        </w:rPr>
        <w:t>Nathan Braun</w:t>
      </w:r>
    </w:p>
    <w:p w14:paraId="3D8B14E9" w14:textId="0F96BE24" w:rsidR="00EC0A0B" w:rsidRDefault="001E5BEE" w:rsidP="00EC0A0B">
      <w:pPr>
        <w:spacing w:line="480" w:lineRule="auto"/>
        <w:jc w:val="center"/>
        <w:rPr>
          <w:rFonts w:ascii="Times New Roman" w:hAnsi="Times New Roman" w:cs="Times New Roman"/>
          <w:sz w:val="24"/>
          <w:szCs w:val="24"/>
        </w:rPr>
      </w:pPr>
      <w:r>
        <w:rPr>
          <w:rFonts w:ascii="Times New Roman" w:hAnsi="Times New Roman" w:cs="Times New Roman"/>
          <w:sz w:val="24"/>
          <w:szCs w:val="24"/>
        </w:rPr>
        <w:t>July</w:t>
      </w:r>
      <w:r w:rsidR="00D118CD">
        <w:rPr>
          <w:rFonts w:ascii="Times New Roman" w:hAnsi="Times New Roman" w:cs="Times New Roman"/>
          <w:sz w:val="24"/>
          <w:szCs w:val="24"/>
        </w:rPr>
        <w:t xml:space="preserve"> </w:t>
      </w:r>
      <w:r w:rsidR="000E3483">
        <w:rPr>
          <w:rFonts w:ascii="Times New Roman" w:hAnsi="Times New Roman" w:cs="Times New Roman"/>
          <w:sz w:val="24"/>
          <w:szCs w:val="24"/>
        </w:rPr>
        <w:t>21</w:t>
      </w:r>
      <w:r w:rsidR="00C565C8">
        <w:rPr>
          <w:rFonts w:ascii="Times New Roman" w:hAnsi="Times New Roman" w:cs="Times New Roman"/>
          <w:sz w:val="24"/>
          <w:szCs w:val="24"/>
        </w:rPr>
        <w:t>, 2026</w:t>
      </w:r>
    </w:p>
    <w:p w14:paraId="3B9F1994" w14:textId="77777777" w:rsidR="00EC0A0B" w:rsidRDefault="00EC0A0B" w:rsidP="00EC0A0B">
      <w:pPr>
        <w:spacing w:line="480" w:lineRule="auto"/>
        <w:jc w:val="center"/>
        <w:rPr>
          <w:rFonts w:ascii="Times New Roman" w:hAnsi="Times New Roman" w:cs="Times New Roman"/>
          <w:sz w:val="24"/>
          <w:szCs w:val="24"/>
        </w:rPr>
      </w:pPr>
    </w:p>
    <w:p w14:paraId="1319BC95" w14:textId="77777777" w:rsidR="00EC0A0B" w:rsidRDefault="00EC0A0B" w:rsidP="00EC0A0B">
      <w:pPr>
        <w:spacing w:line="480" w:lineRule="auto"/>
        <w:jc w:val="center"/>
        <w:rPr>
          <w:rFonts w:ascii="Times New Roman" w:hAnsi="Times New Roman" w:cs="Times New Roman"/>
          <w:sz w:val="24"/>
          <w:szCs w:val="24"/>
        </w:rPr>
      </w:pPr>
    </w:p>
    <w:p w14:paraId="6F24393E" w14:textId="77777777" w:rsidR="00EC0A0B" w:rsidRDefault="00EC0A0B" w:rsidP="00EC0A0B">
      <w:pPr>
        <w:spacing w:line="480" w:lineRule="auto"/>
        <w:jc w:val="center"/>
        <w:rPr>
          <w:rFonts w:ascii="Times New Roman" w:hAnsi="Times New Roman" w:cs="Times New Roman"/>
          <w:sz w:val="24"/>
          <w:szCs w:val="24"/>
        </w:rPr>
      </w:pPr>
    </w:p>
    <w:p w14:paraId="47874DFA" w14:textId="77777777" w:rsidR="00EC0A0B" w:rsidRDefault="00EC0A0B" w:rsidP="00EC0A0B">
      <w:pPr>
        <w:spacing w:line="480" w:lineRule="auto"/>
        <w:jc w:val="center"/>
        <w:rPr>
          <w:rFonts w:ascii="Times New Roman" w:hAnsi="Times New Roman" w:cs="Times New Roman"/>
          <w:sz w:val="24"/>
          <w:szCs w:val="24"/>
        </w:rPr>
      </w:pPr>
    </w:p>
    <w:p w14:paraId="767B31E1" w14:textId="77777777" w:rsidR="00EC0A0B" w:rsidRDefault="00EC0A0B" w:rsidP="00EC0A0B">
      <w:pPr>
        <w:spacing w:line="480" w:lineRule="auto"/>
        <w:jc w:val="center"/>
        <w:rPr>
          <w:rFonts w:ascii="Times New Roman" w:hAnsi="Times New Roman" w:cs="Times New Roman"/>
          <w:sz w:val="24"/>
          <w:szCs w:val="24"/>
        </w:rPr>
      </w:pPr>
    </w:p>
    <w:p w14:paraId="72A749D1" w14:textId="77777777" w:rsidR="00EC0A0B" w:rsidRDefault="00EC0A0B" w:rsidP="00EC0A0B">
      <w:pPr>
        <w:spacing w:line="480" w:lineRule="auto"/>
        <w:jc w:val="center"/>
        <w:rPr>
          <w:rFonts w:ascii="Times New Roman" w:hAnsi="Times New Roman" w:cs="Times New Roman"/>
          <w:sz w:val="24"/>
          <w:szCs w:val="24"/>
        </w:rPr>
      </w:pPr>
    </w:p>
    <w:p w14:paraId="2C72A21C" w14:textId="77777777" w:rsidR="00EC0A0B" w:rsidRDefault="00EC0A0B" w:rsidP="00EC0A0B">
      <w:pPr>
        <w:spacing w:line="480" w:lineRule="auto"/>
        <w:jc w:val="center"/>
        <w:rPr>
          <w:rFonts w:ascii="Times New Roman" w:hAnsi="Times New Roman" w:cs="Times New Roman"/>
          <w:sz w:val="24"/>
          <w:szCs w:val="24"/>
        </w:rPr>
      </w:pPr>
    </w:p>
    <w:p w14:paraId="4FD90EA3" w14:textId="248052A0" w:rsidR="00445757" w:rsidRPr="00E70436" w:rsidRDefault="00445757" w:rsidP="00E70436">
      <w:pPr>
        <w:pStyle w:val="Title"/>
        <w:rPr>
          <w:rFonts w:ascii="Times New Roman" w:hAnsi="Times New Roman" w:cs="Times New Roman"/>
          <w:b/>
          <w:bCs/>
          <w:sz w:val="24"/>
          <w:szCs w:val="24"/>
        </w:rPr>
      </w:pPr>
    </w:p>
    <w:p w14:paraId="100E8E79"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Changes to software and infrastructure are unavoidable because organizations must correct defects, address security vulnerabilities, improve performance, and deliver new features. However, every production change introduces some possibility of failure. A code deployment could cause application errors, a database modification could damage stored information, or an infrastructure update could interrupt a critical service. Organizations have traditionally managed these risks through change approval processes that require proposed changes to be documented, evaluated, and authorized before implementation. Although these processes serve legitimate purposes, they can become counterproductive when every change requires lengthy external approval. Heavyweight approval processes can delay feedback, encourage larger releases, and transfer decisions away from the engineers who understand the work. A safer approach applies oversight according to risk while using peer review, automation, continuous testing, and monitoring to build quality into the software delivery process.</w:t>
      </w:r>
    </w:p>
    <w:p w14:paraId="197C64FE"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A change approval process establishes the steps that must be completed before an organization modifies an application, service, or production environment. A traditional process may require a change request that describes the purpose of the change, affected systems, expected risks, testing results, deployment plan, and rollback procedure. A manager, designated change authority, or change advisory board then evaluates the request and decides whether the change may proceed. These controls are intended to protect service availability, coordinate work between teams, maintain security, and demonstrate compliance with organizational or regulatory requirements. Change management is therefore not inherently harmful. A well-designed process gives teams a consistent way to understand risk and prevents important changes from being performed without planning or accountability.</w:t>
      </w:r>
    </w:p>
    <w:p w14:paraId="543B1E1E"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lastRenderedPageBreak/>
        <w:t xml:space="preserve">Not every change presents the same degree of risk, which is why modern change management commonly separates changes into standard, normal, and emergency categories. Standard changes are low-risk, repeatable, and preapproved because the organization already has a reliable procedure for completing them. Normal changes do not have an established preapproved process and require some level of assessment. Emergency changes must be completed quickly to restore service or respond to an urgent threat. </w:t>
      </w:r>
      <w:proofErr w:type="spellStart"/>
      <w:r w:rsidRPr="00D64A43">
        <w:rPr>
          <w:rFonts w:ascii="Times New Roman" w:hAnsi="Times New Roman" w:cs="Times New Roman"/>
          <w:sz w:val="24"/>
          <w:szCs w:val="24"/>
        </w:rPr>
        <w:t>Atlassian</w:t>
      </w:r>
      <w:proofErr w:type="spellEnd"/>
      <w:r w:rsidRPr="00D64A43">
        <w:rPr>
          <w:rFonts w:ascii="Times New Roman" w:hAnsi="Times New Roman" w:cs="Times New Roman"/>
          <w:sz w:val="24"/>
          <w:szCs w:val="24"/>
        </w:rPr>
        <w:t xml:space="preserve"> (</w:t>
      </w:r>
      <w:proofErr w:type="spellStart"/>
      <w:r w:rsidRPr="00D64A43">
        <w:rPr>
          <w:rFonts w:ascii="Times New Roman" w:hAnsi="Times New Roman" w:cs="Times New Roman"/>
          <w:sz w:val="24"/>
          <w:szCs w:val="24"/>
        </w:rPr>
        <w:t>n.d.</w:t>
      </w:r>
      <w:proofErr w:type="spellEnd"/>
      <w:r w:rsidRPr="00D64A43">
        <w:rPr>
          <w:rFonts w:ascii="Times New Roman" w:hAnsi="Times New Roman" w:cs="Times New Roman"/>
          <w:sz w:val="24"/>
          <w:szCs w:val="24"/>
        </w:rPr>
        <w:t xml:space="preserve">) explains that organizations should avoid applying one process to every type of change and instead select the approval path according to the change’s urgency and risk. Replacing a failed router with an identical device should not require the same review as </w:t>
      </w:r>
      <w:proofErr w:type="gramStart"/>
      <w:r w:rsidRPr="00D64A43">
        <w:rPr>
          <w:rFonts w:ascii="Times New Roman" w:hAnsi="Times New Roman" w:cs="Times New Roman"/>
          <w:sz w:val="24"/>
          <w:szCs w:val="24"/>
        </w:rPr>
        <w:t>migrating</w:t>
      </w:r>
      <w:proofErr w:type="gramEnd"/>
      <w:r w:rsidRPr="00D64A43">
        <w:rPr>
          <w:rFonts w:ascii="Times New Roman" w:hAnsi="Times New Roman" w:cs="Times New Roman"/>
          <w:sz w:val="24"/>
          <w:szCs w:val="24"/>
        </w:rPr>
        <w:t xml:space="preserve"> an entire data center. Similarly, an emergency security patch should not be delayed by a process designed for a planned infrastructure project.</w:t>
      </w:r>
    </w:p>
    <w:p w14:paraId="7AFF476D"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Problems arise when an organization responds to every production incident by adding more forms, reviewers, meetings, and waiting periods. These additions may create the appearance of control, but they can also make the delivery process slower and more difficult to navigate. A change advisory board may be composed of knowledgeable managers and specialists, yet its members are often removed from the daily work involved in developing and operating the affected system. They may be asked to evaluate a complex change from a short written description and a completed checklist. Even engineers familiar with the code cannot always predict every interaction inside a complex production environment, making it unrealistic to expect a distant board to eliminate uncertainty through a final approval decision. The people closest to a problem usually possess the most detailed knowledge of its technical context, dependencies, and possible side effects.</w:t>
      </w:r>
    </w:p>
    <w:p w14:paraId="2E641B55"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lastRenderedPageBreak/>
        <w:t>Lengthy approvals also increase the time between creating a change and learning whether it works. When deploying software becomes difficult, teams may combine many changes into one release to avoid repeating the approval process. This creates larger batches that contain more code, more dependencies, and more possible causes of failure. If an incident follows the release, investigators must determine which change among many produced the problem. Reversing the release may also be difficult because it could remove unrelated improvements or conflict with database changes. Small and frequent deployments provide faster feedback and narrow the number of possible causes when something goes wrong. Heavyweight approval can therefore produce the opposite of its intended result by encouraging larger and riskier releases.</w:t>
      </w:r>
    </w:p>
    <w:p w14:paraId="517953BC"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 xml:space="preserve">Research from </w:t>
      </w:r>
      <w:proofErr w:type="spellStart"/>
      <w:r w:rsidRPr="00D64A43">
        <w:rPr>
          <w:rFonts w:ascii="Times New Roman" w:hAnsi="Times New Roman" w:cs="Times New Roman"/>
          <w:sz w:val="24"/>
          <w:szCs w:val="24"/>
        </w:rPr>
        <w:t>DevOps</w:t>
      </w:r>
      <w:proofErr w:type="spellEnd"/>
      <w:r w:rsidRPr="00D64A43">
        <w:rPr>
          <w:rFonts w:ascii="Times New Roman" w:hAnsi="Times New Roman" w:cs="Times New Roman"/>
          <w:sz w:val="24"/>
          <w:szCs w:val="24"/>
        </w:rPr>
        <w:t xml:space="preserve"> Research and Assessment supports this concern. DORA found that formal approval by an external board or senior manager negatively affected software delivery performance and did not provide evidence of lower change-failure rates. These processes tend to increase lead times and batch sizes, creating a cycle in which changes are delivered less frequently and have a greater effect on production. Instead of depending on a final external review, DORA recommends shifting approval earlier in the delivery process through peer review, continuous integration, automated testing, and comprehensive monitoring. These practices detect problems when they are less expensive and easier to correct while still maintaining evidence that someone other than the author reviewed the change (</w:t>
      </w:r>
      <w:proofErr w:type="spellStart"/>
      <w:r w:rsidRPr="00D64A43">
        <w:rPr>
          <w:rFonts w:ascii="Times New Roman" w:hAnsi="Times New Roman" w:cs="Times New Roman"/>
          <w:sz w:val="24"/>
          <w:szCs w:val="24"/>
        </w:rPr>
        <w:t>DevOps</w:t>
      </w:r>
      <w:proofErr w:type="spellEnd"/>
      <w:r w:rsidRPr="00D64A43">
        <w:rPr>
          <w:rFonts w:ascii="Times New Roman" w:hAnsi="Times New Roman" w:cs="Times New Roman"/>
          <w:sz w:val="24"/>
          <w:szCs w:val="24"/>
        </w:rPr>
        <w:t xml:space="preserve"> Research and Assessment [DORA], </w:t>
      </w:r>
      <w:proofErr w:type="spellStart"/>
      <w:r w:rsidRPr="00D64A43">
        <w:rPr>
          <w:rFonts w:ascii="Times New Roman" w:hAnsi="Times New Roman" w:cs="Times New Roman"/>
          <w:sz w:val="24"/>
          <w:szCs w:val="24"/>
        </w:rPr>
        <w:t>n.d.</w:t>
      </w:r>
      <w:proofErr w:type="spellEnd"/>
      <w:r w:rsidRPr="00D64A43">
        <w:rPr>
          <w:rFonts w:ascii="Times New Roman" w:hAnsi="Times New Roman" w:cs="Times New Roman"/>
          <w:sz w:val="24"/>
          <w:szCs w:val="24"/>
        </w:rPr>
        <w:t>).</w:t>
      </w:r>
    </w:p>
    <w:p w14:paraId="368E348E"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 xml:space="preserve">Another danger is that approval may become a substitute for ownership. Engineers can begin treating authorization as proof that a change is safe, even when the approver has not examined the implementation in detail. This encourages compliance with the process rather than responsibility for the outcome. A completed form shows that required steps were followed, but it </w:t>
      </w:r>
      <w:r w:rsidRPr="00D64A43">
        <w:rPr>
          <w:rFonts w:ascii="Times New Roman" w:hAnsi="Times New Roman" w:cs="Times New Roman"/>
          <w:sz w:val="24"/>
          <w:szCs w:val="24"/>
        </w:rPr>
        <w:lastRenderedPageBreak/>
        <w:t>does not prove that an application will perform correctly under real customer traffic. Reviews may also become routine rubber stamps when reviewers face large numbers of requests and limited time. In a healthier process, the person implementing the change remains responsible for its quality while peers and automated systems provide additional evidence. Approval should strengthen engineering judgment rather than replace it.</w:t>
      </w:r>
    </w:p>
    <w:p w14:paraId="0882FC96"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The Knight Capital incident demonstrates the consequences of weak technical controls surrounding a production change. In 2012, Knight Capital prepared its automated trading system to participate in a new program offered by the New York Stock Exchange. New code was deployed incorrectly, allowing an obsolete and defective function to become active. During the first 45 minutes after the market opened, the system sent more than four million orders while attempting to fill only 212 customer orders. Knight Capital traded more than 397 million shares and suffered losses exceeding $460 million (U.S. Securities and Exchange Commission, 2013). The damage threatened the company’s survival and illustrates how quickly a software problem can become a major business crisis.</w:t>
      </w:r>
    </w:p>
    <w:p w14:paraId="2420C788"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 xml:space="preserve">Describing Knight Capital only as a failure to obtain sufficient approval would overlook several deeper weaknesses. The SEC found that the company lacked adequate deployment and testing controls, did not have effective limits on its overall financial exposure, and did not maintain sufficient procedures for responding to major technical incidents. An internal system also generated 97 emails that identified an error before the market opened, but employees did not treat those messages as actionable alerts. These conditions demonstrate that safety cannot depend on one decision immediately before deployment. Effective control must exist throughout development, testing, release, monitoring, and recovery. A manager’s signature would not have ensured that code reached every server consistently, prevented invalid orders, or stopped trading </w:t>
      </w:r>
      <w:r w:rsidRPr="00D64A43">
        <w:rPr>
          <w:rFonts w:ascii="Times New Roman" w:hAnsi="Times New Roman" w:cs="Times New Roman"/>
          <w:sz w:val="24"/>
          <w:szCs w:val="24"/>
        </w:rPr>
        <w:lastRenderedPageBreak/>
        <w:t>when financial exposure exceeded a safe limit. Knight Capital needed layered technical safeguards that could prevent the defect, detect abnormal behavior, limit its consequences, and stop the system quickly.</w:t>
      </w:r>
    </w:p>
    <w:p w14:paraId="1893795C"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Modern change governance distributes these safeguards across the software delivery lifecycle. Peer review allows engineers familiar with the application to examine the design, implementation, tests, and risks before the change enters the shared codebase. Small changes make this review more effective because reviewers can understand the purpose and consequences without examining thousands of lines at once. Version control then provides a traceable record showing what changed, who made the change, and who reviewed it. These records can satisfy accountability and separation-of-duties requirements without sending every routine change to an external board. Changes involving authentication, sensitive information, databases, or critical infrastructure can still receive additional review from security specialists or other subject-matter experts.</w:t>
      </w:r>
    </w:p>
    <w:p w14:paraId="6CA386CD"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Automation supplies another layer of control by applying the same requirements consistently. Continuous integration can build the software and execute tests whenever a change is submitted. Security scans can detect vulnerable dependencies, while automated checks can reject code that fails quality or coverage standards. Infrastructure as code makes server and network configurations reviewable and repeatable rather than relying on undocumented manual actions. Google Cloud (2024) recommends combining clear governance and risk assessment with version control, automated testing, CI/CD pipelines, and controlled deployment methods. These practices provide evidence that a change has satisfied established requirements while reducing the possibility of manual error. They also create a more auditable process because test results, approvals, deployment records, and configuration histories can be retained automatically.</w:t>
      </w:r>
    </w:p>
    <w:p w14:paraId="58775225"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lastRenderedPageBreak/>
        <w:t>Automated deployment strategies further reduce the consequences of a defect that escapes testing. A canary release exposes the change to a small percentage of users or servers before expanding it, while a blue-green deployment maintains an earlier environment that can be restored if the new version fails. Feature toggles can disable defective functionality without requiring an entire application rollback. Monitoring and telemetry then show whether error rates, response times, resource usage, and business outcomes changed after deployment. These capabilities recognize that some production failures cannot be predicted in advance. Instead of attempting to eliminate every possible failure through approval, the organization limits exposure and prepares to recover quickly.</w:t>
      </w:r>
    </w:p>
    <w:p w14:paraId="74973007"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 xml:space="preserve">Moving away from heavyweight approval does not eliminate the role of change advisory boards or management. CABs remain useful for coordinating changes that cross team boundaries, scheduling major infrastructure work, interpreting compliance requirements, and evaluating strategic tradeoffs between business risk and time to market. Formal review may also be appropriate for changes involving regulated information, global network infrastructure, or systems whose failure could threaten safety or substantial revenue. The difference is that the board no longer attempts to evaluate every routine technical detail. DORA recommends that CABs shift from acting as gatekeepers to supporting coordination and process improvement (DORA, </w:t>
      </w:r>
      <w:proofErr w:type="spellStart"/>
      <w:r w:rsidRPr="00D64A43">
        <w:rPr>
          <w:rFonts w:ascii="Times New Roman" w:hAnsi="Times New Roman" w:cs="Times New Roman"/>
          <w:sz w:val="24"/>
          <w:szCs w:val="24"/>
        </w:rPr>
        <w:t>n.d.</w:t>
      </w:r>
      <w:proofErr w:type="spellEnd"/>
      <w:r w:rsidRPr="00D64A43">
        <w:rPr>
          <w:rFonts w:ascii="Times New Roman" w:hAnsi="Times New Roman" w:cs="Times New Roman"/>
          <w:sz w:val="24"/>
          <w:szCs w:val="24"/>
        </w:rPr>
        <w:t xml:space="preserve">). </w:t>
      </w:r>
      <w:proofErr w:type="spellStart"/>
      <w:r w:rsidRPr="00D64A43">
        <w:rPr>
          <w:rFonts w:ascii="Times New Roman" w:hAnsi="Times New Roman" w:cs="Times New Roman"/>
          <w:sz w:val="24"/>
          <w:szCs w:val="24"/>
        </w:rPr>
        <w:t>Atlassian</w:t>
      </w:r>
      <w:proofErr w:type="spellEnd"/>
      <w:r w:rsidRPr="00D64A43">
        <w:rPr>
          <w:rFonts w:ascii="Times New Roman" w:hAnsi="Times New Roman" w:cs="Times New Roman"/>
          <w:sz w:val="24"/>
          <w:szCs w:val="24"/>
        </w:rPr>
        <w:t xml:space="preserve"> (</w:t>
      </w:r>
      <w:proofErr w:type="spellStart"/>
      <w:r w:rsidRPr="00D64A43">
        <w:rPr>
          <w:rFonts w:ascii="Times New Roman" w:hAnsi="Times New Roman" w:cs="Times New Roman"/>
          <w:sz w:val="24"/>
          <w:szCs w:val="24"/>
        </w:rPr>
        <w:t>n.d.</w:t>
      </w:r>
      <w:proofErr w:type="spellEnd"/>
      <w:r w:rsidRPr="00D64A43">
        <w:rPr>
          <w:rFonts w:ascii="Times New Roman" w:hAnsi="Times New Roman" w:cs="Times New Roman"/>
          <w:sz w:val="24"/>
          <w:szCs w:val="24"/>
        </w:rPr>
        <w:t>) similarly explains that many organizations are limiting CAB involvement to the highest-risk changes while using peer review and automated checks for routine work.</w:t>
      </w:r>
    </w:p>
    <w:p w14:paraId="671A6D88"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 xml:space="preserve">This risk-based approach protects control without allowing bureaucracy to dominate delivery. Standard changes can be preapproved and automated after the organization demonstrates that they are repeatable and safe. Normal changes can receive peer or specialist </w:t>
      </w:r>
      <w:r w:rsidRPr="00D64A43">
        <w:rPr>
          <w:rFonts w:ascii="Times New Roman" w:hAnsi="Times New Roman" w:cs="Times New Roman"/>
          <w:sz w:val="24"/>
          <w:szCs w:val="24"/>
        </w:rPr>
        <w:lastRenderedPageBreak/>
        <w:t>review based on their technical impact. Emergency changes can follow a shortened path that preserves essential testing and documentation while recognizing that waiting may be more dangerous than acting. Teams can use past incidents and deployment data to improve these classifications over time. If a type of change repeatedly succeeds, it may become a standard change. If another produces failures, the organization can add targeted controls instead of slowing every release.</w:t>
      </w:r>
    </w:p>
    <w:p w14:paraId="7BE8F74F" w14:textId="77777777" w:rsidR="00D64A43" w:rsidRPr="00D64A43" w:rsidRDefault="00D64A43" w:rsidP="00D64A43">
      <w:pPr>
        <w:spacing w:line="480" w:lineRule="auto"/>
        <w:ind w:firstLine="720"/>
        <w:contextualSpacing/>
        <w:rPr>
          <w:rFonts w:ascii="Times New Roman" w:hAnsi="Times New Roman" w:cs="Times New Roman"/>
          <w:sz w:val="24"/>
          <w:szCs w:val="24"/>
        </w:rPr>
      </w:pPr>
      <w:r w:rsidRPr="00D64A43">
        <w:rPr>
          <w:rFonts w:ascii="Times New Roman" w:hAnsi="Times New Roman" w:cs="Times New Roman"/>
          <w:sz w:val="24"/>
          <w:szCs w:val="24"/>
        </w:rPr>
        <w:t>Change approval processes exist because production systems and the customers who depend on them must be protected. The danger is not approval itself, but the assumption that more approvals automatically create greater safety. Heavyweight external processes can delay feedback, increase batch sizes, reduce ownership, and require decisions from people who may not understand the work as well as the engineers performing it. The Knight Capital incident demonstrates that catastrophic failures result from multiple weaknesses across deployment, testing, monitoring, and recovery, not merely from the absence of a final signature. Organizations can manage change more effectively by combining risk-based governance with peer review, version control, automated testing, CI/CD, controlled deployments, and telemetry. These practices preserve accountability while allowing teams to deliver smaller changes, detect problems earlier, and recover before a technical failure becomes a business crisis.</w:t>
      </w:r>
    </w:p>
    <w:p w14:paraId="3800D517" w14:textId="1771B977" w:rsidR="00CA5F4A" w:rsidRDefault="00CA5F4A" w:rsidP="006D10FA">
      <w:pPr>
        <w:spacing w:line="480" w:lineRule="auto"/>
        <w:contextualSpacing/>
        <w:rPr>
          <w:rFonts w:ascii="Times New Roman" w:hAnsi="Times New Roman" w:cs="Times New Roman"/>
          <w:sz w:val="24"/>
          <w:szCs w:val="24"/>
        </w:rPr>
      </w:pPr>
    </w:p>
    <w:p w14:paraId="7CF72E7E" w14:textId="31BF7FDA" w:rsidR="00405566" w:rsidRDefault="00405566" w:rsidP="00D23B7E">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b/>
      </w:r>
    </w:p>
    <w:p w14:paraId="589B8BA2" w14:textId="7ED69C57" w:rsidR="006A04EA" w:rsidRPr="006A04EA" w:rsidRDefault="006A04EA" w:rsidP="00D23B7E">
      <w:pPr>
        <w:spacing w:line="480" w:lineRule="auto"/>
        <w:rPr>
          <w:rFonts w:ascii="Times New Roman" w:hAnsi="Times New Roman" w:cs="Times New Roman"/>
          <w:sz w:val="24"/>
          <w:szCs w:val="24"/>
        </w:rPr>
      </w:pPr>
      <w:r>
        <w:rPr>
          <w:rFonts w:ascii="Times New Roman" w:hAnsi="Times New Roman" w:cs="Times New Roman"/>
          <w:sz w:val="24"/>
          <w:szCs w:val="24"/>
        </w:rPr>
        <w:tab/>
      </w:r>
    </w:p>
    <w:p w14:paraId="51259C7F" w14:textId="77777777" w:rsidR="00FE0331" w:rsidRDefault="00511F44" w:rsidP="00D23B7E">
      <w:pPr>
        <w:spacing w:line="480" w:lineRule="auto"/>
        <w:rPr>
          <w:rFonts w:ascii="Times New Roman" w:hAnsi="Times New Roman" w:cs="Times New Roman"/>
          <w:sz w:val="24"/>
          <w:szCs w:val="24"/>
        </w:rPr>
      </w:pPr>
      <w:r>
        <w:rPr>
          <w:rFonts w:ascii="Times New Roman" w:hAnsi="Times New Roman" w:cs="Times New Roman"/>
          <w:sz w:val="24"/>
          <w:szCs w:val="24"/>
        </w:rPr>
        <w:tab/>
      </w:r>
    </w:p>
    <w:p w14:paraId="2B4ADE71" w14:textId="77777777" w:rsidR="00F825C7" w:rsidRDefault="00F825C7" w:rsidP="00D23B7E">
      <w:pPr>
        <w:spacing w:line="480" w:lineRule="auto"/>
        <w:rPr>
          <w:rFonts w:ascii="Times New Roman" w:hAnsi="Times New Roman" w:cs="Times New Roman"/>
          <w:sz w:val="24"/>
          <w:szCs w:val="24"/>
        </w:rPr>
      </w:pPr>
    </w:p>
    <w:p w14:paraId="318A69FC" w14:textId="1E2C5971" w:rsidR="00EC0A0B" w:rsidRPr="00D23B7E" w:rsidRDefault="00EC0A0B" w:rsidP="00D23B7E">
      <w:pPr>
        <w:spacing w:line="480" w:lineRule="auto"/>
        <w:jc w:val="center"/>
        <w:rPr>
          <w:rStyle w:val="Strong"/>
          <w:rFonts w:asciiTheme="majorHAnsi" w:hAnsiTheme="majorHAnsi" w:cs="Arial"/>
          <w:color w:val="262626"/>
          <w:sz w:val="28"/>
          <w:szCs w:val="28"/>
          <w:shd w:val="clear" w:color="auto" w:fill="FFFFFF"/>
        </w:rPr>
      </w:pPr>
      <w:r w:rsidRPr="00D23B7E">
        <w:rPr>
          <w:rStyle w:val="Strong"/>
          <w:rFonts w:asciiTheme="majorHAnsi" w:hAnsiTheme="majorHAnsi" w:cs="Arial"/>
          <w:color w:val="262626"/>
          <w:sz w:val="28"/>
          <w:szCs w:val="28"/>
          <w:shd w:val="clear" w:color="auto" w:fill="FFFFFF"/>
        </w:rPr>
        <w:lastRenderedPageBreak/>
        <w:t>References</w:t>
      </w:r>
    </w:p>
    <w:p w14:paraId="5B2A567C" w14:textId="1B435106" w:rsidR="00D64A43" w:rsidRPr="00D64A43" w:rsidRDefault="00D64A43" w:rsidP="00D64A43">
      <w:pPr>
        <w:spacing w:line="480" w:lineRule="auto"/>
        <w:ind w:left="720" w:hanging="720"/>
        <w:rPr>
          <w:rFonts w:ascii="Times New Roman" w:hAnsi="Times New Roman" w:cs="Times New Roman"/>
          <w:sz w:val="24"/>
          <w:szCs w:val="24"/>
        </w:rPr>
      </w:pPr>
      <w:proofErr w:type="spellStart"/>
      <w:proofErr w:type="gramStart"/>
      <w:r w:rsidRPr="00D64A43">
        <w:rPr>
          <w:rFonts w:ascii="Times New Roman" w:hAnsi="Times New Roman" w:cs="Times New Roman"/>
          <w:sz w:val="24"/>
          <w:szCs w:val="24"/>
        </w:rPr>
        <w:t>Atlassian</w:t>
      </w:r>
      <w:proofErr w:type="spellEnd"/>
      <w:r w:rsidRPr="00D64A43">
        <w:rPr>
          <w:rFonts w:ascii="Times New Roman" w:hAnsi="Times New Roman" w:cs="Times New Roman"/>
          <w:sz w:val="24"/>
          <w:szCs w:val="24"/>
        </w:rPr>
        <w:t>.</w:t>
      </w:r>
      <w:proofErr w:type="gramEnd"/>
      <w:r w:rsidRPr="00D64A43">
        <w:rPr>
          <w:rFonts w:ascii="Times New Roman" w:hAnsi="Times New Roman" w:cs="Times New Roman"/>
          <w:sz w:val="24"/>
          <w:szCs w:val="24"/>
        </w:rPr>
        <w:t xml:space="preserve"> </w:t>
      </w:r>
      <w:proofErr w:type="gramStart"/>
      <w:r w:rsidRPr="00D64A43">
        <w:rPr>
          <w:rFonts w:ascii="Times New Roman" w:hAnsi="Times New Roman" w:cs="Times New Roman"/>
          <w:sz w:val="24"/>
          <w:szCs w:val="24"/>
        </w:rPr>
        <w:t>(</w:t>
      </w:r>
      <w:proofErr w:type="spellStart"/>
      <w:r w:rsidRPr="00D64A43">
        <w:rPr>
          <w:rFonts w:ascii="Times New Roman" w:hAnsi="Times New Roman" w:cs="Times New Roman"/>
          <w:sz w:val="24"/>
          <w:szCs w:val="24"/>
        </w:rPr>
        <w:t>n.d.</w:t>
      </w:r>
      <w:proofErr w:type="spellEnd"/>
      <w:r w:rsidRPr="00D64A43">
        <w:rPr>
          <w:rFonts w:ascii="Times New Roman" w:hAnsi="Times New Roman" w:cs="Times New Roman"/>
          <w:sz w:val="24"/>
          <w:szCs w:val="24"/>
        </w:rPr>
        <w:t>).</w:t>
      </w:r>
      <w:proofErr w:type="gramEnd"/>
      <w:r w:rsidRPr="00D64A43">
        <w:rPr>
          <w:rFonts w:ascii="Times New Roman" w:hAnsi="Times New Roman" w:cs="Times New Roman"/>
          <w:sz w:val="24"/>
          <w:szCs w:val="24"/>
        </w:rPr>
        <w:t xml:space="preserve"> </w:t>
      </w:r>
      <w:r w:rsidRPr="00D64A43">
        <w:rPr>
          <w:rFonts w:ascii="Times New Roman" w:hAnsi="Times New Roman" w:cs="Times New Roman"/>
          <w:i/>
          <w:iCs/>
          <w:sz w:val="24"/>
          <w:szCs w:val="24"/>
        </w:rPr>
        <w:t xml:space="preserve">IT </w:t>
      </w:r>
      <w:proofErr w:type="gramStart"/>
      <w:r w:rsidRPr="00D64A43">
        <w:rPr>
          <w:rFonts w:ascii="Times New Roman" w:hAnsi="Times New Roman" w:cs="Times New Roman"/>
          <w:i/>
          <w:iCs/>
          <w:sz w:val="24"/>
          <w:szCs w:val="24"/>
        </w:rPr>
        <w:t>change</w:t>
      </w:r>
      <w:proofErr w:type="gramEnd"/>
      <w:r w:rsidRPr="00D64A43">
        <w:rPr>
          <w:rFonts w:ascii="Times New Roman" w:hAnsi="Times New Roman" w:cs="Times New Roman"/>
          <w:i/>
          <w:iCs/>
          <w:sz w:val="24"/>
          <w:szCs w:val="24"/>
        </w:rPr>
        <w:t xml:space="preserve"> management: ITIL framework and best practices</w:t>
      </w:r>
      <w:r w:rsidRPr="00D64A43">
        <w:rPr>
          <w:rFonts w:ascii="Times New Roman" w:hAnsi="Times New Roman" w:cs="Times New Roman"/>
          <w:sz w:val="24"/>
          <w:szCs w:val="24"/>
        </w:rPr>
        <w:t>. https://www.atlassian.com/itsm/change-management</w:t>
      </w:r>
    </w:p>
    <w:p w14:paraId="0244A912" w14:textId="0056EB78" w:rsidR="00D64A43" w:rsidRPr="00D64A43" w:rsidRDefault="00D64A43" w:rsidP="00D64A43">
      <w:pPr>
        <w:spacing w:line="480" w:lineRule="auto"/>
        <w:ind w:left="720" w:hanging="720"/>
        <w:rPr>
          <w:rFonts w:ascii="Times New Roman" w:hAnsi="Times New Roman" w:cs="Times New Roman"/>
          <w:sz w:val="24"/>
          <w:szCs w:val="24"/>
        </w:rPr>
      </w:pPr>
      <w:proofErr w:type="spellStart"/>
      <w:proofErr w:type="gramStart"/>
      <w:r w:rsidRPr="00D64A43">
        <w:rPr>
          <w:rFonts w:ascii="Times New Roman" w:hAnsi="Times New Roman" w:cs="Times New Roman"/>
          <w:sz w:val="24"/>
          <w:szCs w:val="24"/>
        </w:rPr>
        <w:t>DevOps</w:t>
      </w:r>
      <w:proofErr w:type="spellEnd"/>
      <w:r w:rsidRPr="00D64A43">
        <w:rPr>
          <w:rFonts w:ascii="Times New Roman" w:hAnsi="Times New Roman" w:cs="Times New Roman"/>
          <w:sz w:val="24"/>
          <w:szCs w:val="24"/>
        </w:rPr>
        <w:t xml:space="preserve"> Research and Assessment.</w:t>
      </w:r>
      <w:proofErr w:type="gramEnd"/>
      <w:r w:rsidRPr="00D64A43">
        <w:rPr>
          <w:rFonts w:ascii="Times New Roman" w:hAnsi="Times New Roman" w:cs="Times New Roman"/>
          <w:sz w:val="24"/>
          <w:szCs w:val="24"/>
        </w:rPr>
        <w:t xml:space="preserve"> </w:t>
      </w:r>
      <w:proofErr w:type="gramStart"/>
      <w:r w:rsidRPr="00D64A43">
        <w:rPr>
          <w:rFonts w:ascii="Times New Roman" w:hAnsi="Times New Roman" w:cs="Times New Roman"/>
          <w:sz w:val="24"/>
          <w:szCs w:val="24"/>
        </w:rPr>
        <w:t>(</w:t>
      </w:r>
      <w:proofErr w:type="spellStart"/>
      <w:r w:rsidRPr="00D64A43">
        <w:rPr>
          <w:rFonts w:ascii="Times New Roman" w:hAnsi="Times New Roman" w:cs="Times New Roman"/>
          <w:sz w:val="24"/>
          <w:szCs w:val="24"/>
        </w:rPr>
        <w:t>n.d.</w:t>
      </w:r>
      <w:proofErr w:type="spellEnd"/>
      <w:r w:rsidRPr="00D64A43">
        <w:rPr>
          <w:rFonts w:ascii="Times New Roman" w:hAnsi="Times New Roman" w:cs="Times New Roman"/>
          <w:sz w:val="24"/>
          <w:szCs w:val="24"/>
        </w:rPr>
        <w:t>).</w:t>
      </w:r>
      <w:proofErr w:type="gramEnd"/>
      <w:r w:rsidRPr="00D64A43">
        <w:rPr>
          <w:rFonts w:ascii="Times New Roman" w:hAnsi="Times New Roman" w:cs="Times New Roman"/>
          <w:sz w:val="24"/>
          <w:szCs w:val="24"/>
        </w:rPr>
        <w:t xml:space="preserve"> </w:t>
      </w:r>
      <w:proofErr w:type="gramStart"/>
      <w:r w:rsidRPr="00D64A43">
        <w:rPr>
          <w:rFonts w:ascii="Times New Roman" w:hAnsi="Times New Roman" w:cs="Times New Roman"/>
          <w:i/>
          <w:iCs/>
          <w:sz w:val="24"/>
          <w:szCs w:val="24"/>
        </w:rPr>
        <w:t>Streamlining change approval</w:t>
      </w:r>
      <w:r w:rsidRPr="00D64A43">
        <w:rPr>
          <w:rFonts w:ascii="Times New Roman" w:hAnsi="Times New Roman" w:cs="Times New Roman"/>
          <w:sz w:val="24"/>
          <w:szCs w:val="24"/>
        </w:rPr>
        <w:t>.</w:t>
      </w:r>
      <w:proofErr w:type="gramEnd"/>
      <w:r w:rsidRPr="00D64A43">
        <w:rPr>
          <w:rFonts w:ascii="Times New Roman" w:hAnsi="Times New Roman" w:cs="Times New Roman"/>
          <w:sz w:val="24"/>
          <w:szCs w:val="24"/>
        </w:rPr>
        <w:t xml:space="preserve"> https://dora.dev/capabilities/streamlining-change-approval/</w:t>
      </w:r>
    </w:p>
    <w:p w14:paraId="1F16B8BC" w14:textId="4A1D2C7E" w:rsidR="00D64A43" w:rsidRPr="00D64A43" w:rsidRDefault="00D64A43" w:rsidP="00D64A43">
      <w:pPr>
        <w:spacing w:line="480" w:lineRule="auto"/>
        <w:ind w:left="720" w:hanging="720"/>
        <w:rPr>
          <w:rFonts w:ascii="Times New Roman" w:hAnsi="Times New Roman" w:cs="Times New Roman"/>
          <w:sz w:val="24"/>
          <w:szCs w:val="24"/>
        </w:rPr>
      </w:pPr>
      <w:r w:rsidRPr="00D64A43">
        <w:rPr>
          <w:rFonts w:ascii="Times New Roman" w:hAnsi="Times New Roman" w:cs="Times New Roman"/>
          <w:sz w:val="24"/>
          <w:szCs w:val="24"/>
        </w:rPr>
        <w:t xml:space="preserve">Google Cloud. (2024, October 31). </w:t>
      </w:r>
      <w:r w:rsidRPr="00D64A43">
        <w:rPr>
          <w:rFonts w:ascii="Times New Roman" w:hAnsi="Times New Roman" w:cs="Times New Roman"/>
          <w:i/>
          <w:iCs/>
          <w:sz w:val="24"/>
          <w:szCs w:val="24"/>
        </w:rPr>
        <w:t>Automate and manage change</w:t>
      </w:r>
      <w:r w:rsidRPr="00D64A43">
        <w:rPr>
          <w:rFonts w:ascii="Times New Roman" w:hAnsi="Times New Roman" w:cs="Times New Roman"/>
          <w:sz w:val="24"/>
          <w:szCs w:val="24"/>
        </w:rPr>
        <w:t xml:space="preserve">. </w:t>
      </w:r>
      <w:proofErr w:type="gramStart"/>
      <w:r w:rsidRPr="00D64A43">
        <w:rPr>
          <w:rFonts w:ascii="Times New Roman" w:hAnsi="Times New Roman" w:cs="Times New Roman"/>
          <w:sz w:val="24"/>
          <w:szCs w:val="24"/>
        </w:rPr>
        <w:t>Google Cloud Architecture Center.</w:t>
      </w:r>
      <w:proofErr w:type="gramEnd"/>
      <w:r w:rsidRPr="00D64A43">
        <w:rPr>
          <w:rFonts w:ascii="Times New Roman" w:hAnsi="Times New Roman" w:cs="Times New Roman"/>
          <w:sz w:val="24"/>
          <w:szCs w:val="24"/>
        </w:rPr>
        <w:t xml:space="preserve"> https://docs.cloud.google.com/architecture/framework/operational-excellence/automate-and-manage-change</w:t>
      </w:r>
    </w:p>
    <w:p w14:paraId="45B9C9AF" w14:textId="77777777" w:rsidR="00D64A43" w:rsidRPr="00D64A43" w:rsidRDefault="00D64A43" w:rsidP="00D64A43">
      <w:pPr>
        <w:spacing w:line="480" w:lineRule="auto"/>
        <w:ind w:left="720" w:hanging="720"/>
        <w:rPr>
          <w:rFonts w:ascii="Times New Roman" w:hAnsi="Times New Roman" w:cs="Times New Roman"/>
          <w:sz w:val="24"/>
          <w:szCs w:val="24"/>
        </w:rPr>
      </w:pPr>
      <w:proofErr w:type="gramStart"/>
      <w:r w:rsidRPr="00D64A43">
        <w:rPr>
          <w:rFonts w:ascii="Times New Roman" w:hAnsi="Times New Roman" w:cs="Times New Roman"/>
          <w:sz w:val="24"/>
          <w:szCs w:val="24"/>
        </w:rPr>
        <w:t xml:space="preserve">Kim, G., Humble, J., </w:t>
      </w:r>
      <w:proofErr w:type="spellStart"/>
      <w:r w:rsidRPr="00D64A43">
        <w:rPr>
          <w:rFonts w:ascii="Times New Roman" w:hAnsi="Times New Roman" w:cs="Times New Roman"/>
          <w:sz w:val="24"/>
          <w:szCs w:val="24"/>
        </w:rPr>
        <w:t>Debois</w:t>
      </w:r>
      <w:proofErr w:type="spellEnd"/>
      <w:r w:rsidRPr="00D64A43">
        <w:rPr>
          <w:rFonts w:ascii="Times New Roman" w:hAnsi="Times New Roman" w:cs="Times New Roman"/>
          <w:sz w:val="24"/>
          <w:szCs w:val="24"/>
        </w:rPr>
        <w:t>, P., &amp; Willis, J. (2021).</w:t>
      </w:r>
      <w:proofErr w:type="gramEnd"/>
      <w:r w:rsidRPr="00D64A43">
        <w:rPr>
          <w:rFonts w:ascii="Times New Roman" w:hAnsi="Times New Roman" w:cs="Times New Roman"/>
          <w:sz w:val="24"/>
          <w:szCs w:val="24"/>
        </w:rPr>
        <w:t xml:space="preserve"> </w:t>
      </w:r>
      <w:r w:rsidRPr="00D64A43">
        <w:rPr>
          <w:rFonts w:ascii="Times New Roman" w:hAnsi="Times New Roman" w:cs="Times New Roman"/>
          <w:i/>
          <w:iCs/>
          <w:sz w:val="24"/>
          <w:szCs w:val="24"/>
        </w:rPr>
        <w:t xml:space="preserve">The </w:t>
      </w:r>
      <w:proofErr w:type="spellStart"/>
      <w:r w:rsidRPr="00D64A43">
        <w:rPr>
          <w:rFonts w:ascii="Times New Roman" w:hAnsi="Times New Roman" w:cs="Times New Roman"/>
          <w:i/>
          <w:iCs/>
          <w:sz w:val="24"/>
          <w:szCs w:val="24"/>
        </w:rPr>
        <w:t>DevOps</w:t>
      </w:r>
      <w:proofErr w:type="spellEnd"/>
      <w:r w:rsidRPr="00D64A43">
        <w:rPr>
          <w:rFonts w:ascii="Times New Roman" w:hAnsi="Times New Roman" w:cs="Times New Roman"/>
          <w:i/>
          <w:iCs/>
          <w:sz w:val="24"/>
          <w:szCs w:val="24"/>
        </w:rPr>
        <w:t xml:space="preserve"> handbook: How to create world-class agility, reliability, &amp; security in technology organizations</w:t>
      </w:r>
      <w:r w:rsidRPr="00D64A43">
        <w:rPr>
          <w:rFonts w:ascii="Times New Roman" w:hAnsi="Times New Roman" w:cs="Times New Roman"/>
          <w:sz w:val="24"/>
          <w:szCs w:val="24"/>
        </w:rPr>
        <w:t xml:space="preserve"> (2nd </w:t>
      </w:r>
      <w:proofErr w:type="gramStart"/>
      <w:r w:rsidRPr="00D64A43">
        <w:rPr>
          <w:rFonts w:ascii="Times New Roman" w:hAnsi="Times New Roman" w:cs="Times New Roman"/>
          <w:sz w:val="24"/>
          <w:szCs w:val="24"/>
        </w:rPr>
        <w:t>ed</w:t>
      </w:r>
      <w:proofErr w:type="gramEnd"/>
      <w:r w:rsidRPr="00D64A43">
        <w:rPr>
          <w:rFonts w:ascii="Times New Roman" w:hAnsi="Times New Roman" w:cs="Times New Roman"/>
          <w:sz w:val="24"/>
          <w:szCs w:val="24"/>
        </w:rPr>
        <w:t xml:space="preserve">.). </w:t>
      </w:r>
      <w:proofErr w:type="gramStart"/>
      <w:r w:rsidRPr="00D64A43">
        <w:rPr>
          <w:rFonts w:ascii="Times New Roman" w:hAnsi="Times New Roman" w:cs="Times New Roman"/>
          <w:sz w:val="24"/>
          <w:szCs w:val="24"/>
        </w:rPr>
        <w:t>Simon &amp; Schuster.</w:t>
      </w:r>
      <w:proofErr w:type="gramEnd"/>
    </w:p>
    <w:p w14:paraId="037B10B3" w14:textId="393B5A6F" w:rsidR="00D64A43" w:rsidRPr="00D64A43" w:rsidRDefault="00D64A43" w:rsidP="00D64A43">
      <w:pPr>
        <w:spacing w:line="480" w:lineRule="auto"/>
        <w:ind w:left="720" w:hanging="720"/>
        <w:rPr>
          <w:rFonts w:ascii="Times New Roman" w:hAnsi="Times New Roman" w:cs="Times New Roman"/>
          <w:sz w:val="24"/>
          <w:szCs w:val="24"/>
        </w:rPr>
      </w:pPr>
      <w:proofErr w:type="gramStart"/>
      <w:r w:rsidRPr="00D64A43">
        <w:rPr>
          <w:rFonts w:ascii="Times New Roman" w:hAnsi="Times New Roman" w:cs="Times New Roman"/>
          <w:sz w:val="24"/>
          <w:szCs w:val="24"/>
        </w:rPr>
        <w:t>U.S. Securities and Exchange Commission.</w:t>
      </w:r>
      <w:proofErr w:type="gramEnd"/>
      <w:r w:rsidRPr="00D64A43">
        <w:rPr>
          <w:rFonts w:ascii="Times New Roman" w:hAnsi="Times New Roman" w:cs="Times New Roman"/>
          <w:sz w:val="24"/>
          <w:szCs w:val="24"/>
        </w:rPr>
        <w:t xml:space="preserve"> (2013, October 16). </w:t>
      </w:r>
      <w:r w:rsidRPr="00D64A43">
        <w:rPr>
          <w:rFonts w:ascii="Times New Roman" w:hAnsi="Times New Roman" w:cs="Times New Roman"/>
          <w:i/>
          <w:iCs/>
          <w:sz w:val="24"/>
          <w:szCs w:val="24"/>
        </w:rPr>
        <w:t>SEC charges Knight Capital with violations of market access rule</w:t>
      </w:r>
      <w:r w:rsidRPr="00D64A43">
        <w:rPr>
          <w:rFonts w:ascii="Times New Roman" w:hAnsi="Times New Roman" w:cs="Times New Roman"/>
          <w:sz w:val="24"/>
          <w:szCs w:val="24"/>
        </w:rPr>
        <w:t>. https://www.sec.gov/newsroom/press-releases/2013-222</w:t>
      </w:r>
    </w:p>
    <w:p w14:paraId="1CC81E86" w14:textId="0DA7AD23" w:rsidR="00EC0A0B" w:rsidRPr="00EC0A0B" w:rsidRDefault="00EC0A0B" w:rsidP="00D23B7E">
      <w:pPr>
        <w:spacing w:line="480" w:lineRule="auto"/>
        <w:ind w:left="720" w:hanging="720"/>
        <w:rPr>
          <w:rFonts w:ascii="Times New Roman" w:hAnsi="Times New Roman" w:cs="Times New Roman"/>
          <w:sz w:val="24"/>
          <w:szCs w:val="24"/>
        </w:rPr>
      </w:pPr>
      <w:bookmarkStart w:id="0" w:name="_GoBack"/>
      <w:bookmarkEnd w:id="0"/>
    </w:p>
    <w:sectPr w:rsidR="00EC0A0B" w:rsidRPr="00EC0A0B">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C1287F" w14:textId="77777777" w:rsidR="00397360" w:rsidRDefault="00397360" w:rsidP="00EC0A0B">
      <w:pPr>
        <w:spacing w:after="0" w:line="240" w:lineRule="auto"/>
      </w:pPr>
      <w:r>
        <w:separator/>
      </w:r>
    </w:p>
  </w:endnote>
  <w:endnote w:type="continuationSeparator" w:id="0">
    <w:p w14:paraId="08966887" w14:textId="77777777" w:rsidR="00397360" w:rsidRDefault="00397360" w:rsidP="00EC0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96AB9D" w14:textId="77777777" w:rsidR="00397360" w:rsidRDefault="00397360" w:rsidP="00EC0A0B">
      <w:pPr>
        <w:spacing w:after="0" w:line="240" w:lineRule="auto"/>
      </w:pPr>
      <w:r>
        <w:separator/>
      </w:r>
    </w:p>
  </w:footnote>
  <w:footnote w:type="continuationSeparator" w:id="0">
    <w:p w14:paraId="732A6F5C" w14:textId="77777777" w:rsidR="00397360" w:rsidRDefault="00397360" w:rsidP="00EC0A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B62DAB" w14:textId="1C9F9E66" w:rsidR="00EC0A0B" w:rsidRPr="00EC0A0B" w:rsidRDefault="00EC0A0B" w:rsidP="00EC0A0B">
    <w:pPr>
      <w:pStyle w:val="Header"/>
      <w:jc w:val="right"/>
      <w:rPr>
        <w:rFonts w:ascii="Times New Roman" w:hAnsi="Times New Roman" w:cs="Times New Roman"/>
        <w:sz w:val="24"/>
        <w:szCs w:val="24"/>
      </w:rPr>
    </w:pPr>
    <w:r>
      <w:rPr>
        <w:rFonts w:ascii="Times New Roman" w:hAnsi="Times New Roman" w:cs="Times New Roman"/>
        <w:sz w:val="24"/>
        <w:szCs w:val="24"/>
      </w:rPr>
      <w:t xml:space="preserve"> </w:t>
    </w:r>
    <w:r w:rsidRPr="00EC0A0B">
      <w:rPr>
        <w:rFonts w:ascii="Times New Roman" w:hAnsi="Times New Roman" w:cs="Times New Roman"/>
        <w:sz w:val="24"/>
        <w:szCs w:val="24"/>
      </w:rPr>
      <w:fldChar w:fldCharType="begin"/>
    </w:r>
    <w:r w:rsidRPr="00EC0A0B">
      <w:rPr>
        <w:rFonts w:ascii="Times New Roman" w:hAnsi="Times New Roman" w:cs="Times New Roman"/>
        <w:sz w:val="24"/>
        <w:szCs w:val="24"/>
      </w:rPr>
      <w:instrText xml:space="preserve"> PAGE   \* MERGEFORMAT </w:instrText>
    </w:r>
    <w:r w:rsidRPr="00EC0A0B">
      <w:rPr>
        <w:rFonts w:ascii="Times New Roman" w:hAnsi="Times New Roman" w:cs="Times New Roman"/>
        <w:sz w:val="24"/>
        <w:szCs w:val="24"/>
      </w:rPr>
      <w:fldChar w:fldCharType="separate"/>
    </w:r>
    <w:r w:rsidR="00D64A43">
      <w:rPr>
        <w:rFonts w:ascii="Times New Roman" w:hAnsi="Times New Roman" w:cs="Times New Roman"/>
        <w:noProof/>
        <w:sz w:val="24"/>
        <w:szCs w:val="24"/>
      </w:rPr>
      <w:t>9</w:t>
    </w:r>
    <w:r w:rsidRPr="00EC0A0B">
      <w:rPr>
        <w:rFonts w:ascii="Times New Roman" w:hAnsi="Times New Roman" w:cs="Times New Roman"/>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n-US" w:vendorID="64" w:dllVersion="0" w:nlCheck="1" w:checkStyle="0"/>
  <w:activeWritingStyle w:appName="MSWord" w:lang="en-US" w:vendorID="64" w:dllVersion="131078" w:nlCheck="1" w:checkStyle="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0A0B"/>
    <w:rsid w:val="00017CFC"/>
    <w:rsid w:val="000E3483"/>
    <w:rsid w:val="001508C5"/>
    <w:rsid w:val="00155F6F"/>
    <w:rsid w:val="001E5BEE"/>
    <w:rsid w:val="00225943"/>
    <w:rsid w:val="00293115"/>
    <w:rsid w:val="002E0127"/>
    <w:rsid w:val="00346343"/>
    <w:rsid w:val="00397360"/>
    <w:rsid w:val="00405566"/>
    <w:rsid w:val="00445757"/>
    <w:rsid w:val="004A39D8"/>
    <w:rsid w:val="004B3FF4"/>
    <w:rsid w:val="00511F44"/>
    <w:rsid w:val="005B3664"/>
    <w:rsid w:val="006460F1"/>
    <w:rsid w:val="006A04EA"/>
    <w:rsid w:val="006C414A"/>
    <w:rsid w:val="006D10FA"/>
    <w:rsid w:val="00761C34"/>
    <w:rsid w:val="007E5436"/>
    <w:rsid w:val="00852E86"/>
    <w:rsid w:val="008A4269"/>
    <w:rsid w:val="00956491"/>
    <w:rsid w:val="00C10630"/>
    <w:rsid w:val="00C565C8"/>
    <w:rsid w:val="00CA5F4A"/>
    <w:rsid w:val="00CD5967"/>
    <w:rsid w:val="00D118CD"/>
    <w:rsid w:val="00D23B7E"/>
    <w:rsid w:val="00D64A43"/>
    <w:rsid w:val="00E70436"/>
    <w:rsid w:val="00EC0A0B"/>
    <w:rsid w:val="00F825C7"/>
    <w:rsid w:val="00FD31FC"/>
    <w:rsid w:val="00FD4EC4"/>
    <w:rsid w:val="00FE0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A6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character" w:styleId="Strong">
    <w:name w:val="Strong"/>
    <w:basedOn w:val="DefaultParagraphFont"/>
    <w:uiPriority w:val="22"/>
    <w:qFormat/>
    <w:rsid w:val="006460F1"/>
    <w:rPr>
      <w:b/>
      <w:bCs/>
    </w:rPr>
  </w:style>
  <w:style w:type="character" w:styleId="Emphasis">
    <w:name w:val="Emphasis"/>
    <w:basedOn w:val="DefaultParagraphFont"/>
    <w:uiPriority w:val="20"/>
    <w:qFormat/>
    <w:rsid w:val="00D23B7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C0A0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C0A0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C0A0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C0A0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C0A0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C0A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A0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C0A0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C0A0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C0A0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C0A0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C0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0B"/>
    <w:rPr>
      <w:rFonts w:eastAsiaTheme="majorEastAsia" w:cstheme="majorBidi"/>
      <w:color w:val="272727" w:themeColor="text1" w:themeTint="D8"/>
    </w:rPr>
  </w:style>
  <w:style w:type="paragraph" w:styleId="Title">
    <w:name w:val="Title"/>
    <w:basedOn w:val="Normal"/>
    <w:next w:val="Normal"/>
    <w:link w:val="TitleChar"/>
    <w:uiPriority w:val="10"/>
    <w:qFormat/>
    <w:rsid w:val="00EC0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0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0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A0B"/>
    <w:rPr>
      <w:i/>
      <w:iCs/>
      <w:color w:val="404040" w:themeColor="text1" w:themeTint="BF"/>
    </w:rPr>
  </w:style>
  <w:style w:type="paragraph" w:styleId="ListParagraph">
    <w:name w:val="List Paragraph"/>
    <w:basedOn w:val="Normal"/>
    <w:uiPriority w:val="34"/>
    <w:qFormat/>
    <w:rsid w:val="00EC0A0B"/>
    <w:pPr>
      <w:ind w:left="720"/>
      <w:contextualSpacing/>
    </w:pPr>
  </w:style>
  <w:style w:type="character" w:styleId="IntenseEmphasis">
    <w:name w:val="Intense Emphasis"/>
    <w:basedOn w:val="DefaultParagraphFont"/>
    <w:uiPriority w:val="21"/>
    <w:qFormat/>
    <w:rsid w:val="00EC0A0B"/>
    <w:rPr>
      <w:i/>
      <w:iCs/>
      <w:color w:val="365F91" w:themeColor="accent1" w:themeShade="BF"/>
    </w:rPr>
  </w:style>
  <w:style w:type="paragraph" w:styleId="IntenseQuote">
    <w:name w:val="Intense Quote"/>
    <w:basedOn w:val="Normal"/>
    <w:next w:val="Normal"/>
    <w:link w:val="IntenseQuoteChar"/>
    <w:uiPriority w:val="30"/>
    <w:qFormat/>
    <w:rsid w:val="00EC0A0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C0A0B"/>
    <w:rPr>
      <w:i/>
      <w:iCs/>
      <w:color w:val="365F91" w:themeColor="accent1" w:themeShade="BF"/>
    </w:rPr>
  </w:style>
  <w:style w:type="character" w:styleId="IntenseReference">
    <w:name w:val="Intense Reference"/>
    <w:basedOn w:val="DefaultParagraphFont"/>
    <w:uiPriority w:val="32"/>
    <w:qFormat/>
    <w:rsid w:val="00EC0A0B"/>
    <w:rPr>
      <w:b/>
      <w:bCs/>
      <w:smallCaps/>
      <w:color w:val="365F91" w:themeColor="accent1" w:themeShade="BF"/>
      <w:spacing w:val="5"/>
    </w:rPr>
  </w:style>
  <w:style w:type="paragraph" w:styleId="Header">
    <w:name w:val="header"/>
    <w:basedOn w:val="Normal"/>
    <w:link w:val="HeaderChar"/>
    <w:uiPriority w:val="99"/>
    <w:unhideWhenUsed/>
    <w:rsid w:val="00EC0A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0A0B"/>
  </w:style>
  <w:style w:type="paragraph" w:styleId="Footer">
    <w:name w:val="footer"/>
    <w:basedOn w:val="Normal"/>
    <w:link w:val="FooterChar"/>
    <w:uiPriority w:val="99"/>
    <w:unhideWhenUsed/>
    <w:rsid w:val="00EC0A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A0B"/>
  </w:style>
  <w:style w:type="character" w:styleId="Hyperlink">
    <w:name w:val="Hyperlink"/>
    <w:basedOn w:val="DefaultParagraphFont"/>
    <w:uiPriority w:val="99"/>
    <w:unhideWhenUsed/>
    <w:rsid w:val="006D10FA"/>
    <w:rPr>
      <w:color w:val="0000FF" w:themeColor="hyperlink"/>
      <w:u w:val="single"/>
    </w:rPr>
  </w:style>
  <w:style w:type="character" w:styleId="Strong">
    <w:name w:val="Strong"/>
    <w:basedOn w:val="DefaultParagraphFont"/>
    <w:uiPriority w:val="22"/>
    <w:qFormat/>
    <w:rsid w:val="006460F1"/>
    <w:rPr>
      <w:b/>
      <w:bCs/>
    </w:rPr>
  </w:style>
  <w:style w:type="character" w:styleId="Emphasis">
    <w:name w:val="Emphasis"/>
    <w:basedOn w:val="DefaultParagraphFont"/>
    <w:uiPriority w:val="20"/>
    <w:qFormat/>
    <w:rsid w:val="00D23B7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53274">
      <w:bodyDiv w:val="1"/>
      <w:marLeft w:val="0"/>
      <w:marRight w:val="0"/>
      <w:marTop w:val="0"/>
      <w:marBottom w:val="0"/>
      <w:divBdr>
        <w:top w:val="none" w:sz="0" w:space="0" w:color="auto"/>
        <w:left w:val="none" w:sz="0" w:space="0" w:color="auto"/>
        <w:bottom w:val="none" w:sz="0" w:space="0" w:color="auto"/>
        <w:right w:val="none" w:sz="0" w:space="0" w:color="auto"/>
      </w:divBdr>
    </w:div>
    <w:div w:id="55321292">
      <w:bodyDiv w:val="1"/>
      <w:marLeft w:val="0"/>
      <w:marRight w:val="0"/>
      <w:marTop w:val="0"/>
      <w:marBottom w:val="0"/>
      <w:divBdr>
        <w:top w:val="none" w:sz="0" w:space="0" w:color="auto"/>
        <w:left w:val="none" w:sz="0" w:space="0" w:color="auto"/>
        <w:bottom w:val="none" w:sz="0" w:space="0" w:color="auto"/>
        <w:right w:val="none" w:sz="0" w:space="0" w:color="auto"/>
      </w:divBdr>
    </w:div>
    <w:div w:id="179440291">
      <w:bodyDiv w:val="1"/>
      <w:marLeft w:val="0"/>
      <w:marRight w:val="0"/>
      <w:marTop w:val="0"/>
      <w:marBottom w:val="0"/>
      <w:divBdr>
        <w:top w:val="none" w:sz="0" w:space="0" w:color="auto"/>
        <w:left w:val="none" w:sz="0" w:space="0" w:color="auto"/>
        <w:bottom w:val="none" w:sz="0" w:space="0" w:color="auto"/>
        <w:right w:val="none" w:sz="0" w:space="0" w:color="auto"/>
      </w:divBdr>
    </w:div>
    <w:div w:id="189146264">
      <w:bodyDiv w:val="1"/>
      <w:marLeft w:val="0"/>
      <w:marRight w:val="0"/>
      <w:marTop w:val="0"/>
      <w:marBottom w:val="0"/>
      <w:divBdr>
        <w:top w:val="none" w:sz="0" w:space="0" w:color="auto"/>
        <w:left w:val="none" w:sz="0" w:space="0" w:color="auto"/>
        <w:bottom w:val="none" w:sz="0" w:space="0" w:color="auto"/>
        <w:right w:val="none" w:sz="0" w:space="0" w:color="auto"/>
      </w:divBdr>
    </w:div>
    <w:div w:id="217668114">
      <w:bodyDiv w:val="1"/>
      <w:marLeft w:val="0"/>
      <w:marRight w:val="0"/>
      <w:marTop w:val="0"/>
      <w:marBottom w:val="0"/>
      <w:divBdr>
        <w:top w:val="none" w:sz="0" w:space="0" w:color="auto"/>
        <w:left w:val="none" w:sz="0" w:space="0" w:color="auto"/>
        <w:bottom w:val="none" w:sz="0" w:space="0" w:color="auto"/>
        <w:right w:val="none" w:sz="0" w:space="0" w:color="auto"/>
      </w:divBdr>
    </w:div>
    <w:div w:id="222520396">
      <w:bodyDiv w:val="1"/>
      <w:marLeft w:val="0"/>
      <w:marRight w:val="0"/>
      <w:marTop w:val="0"/>
      <w:marBottom w:val="0"/>
      <w:divBdr>
        <w:top w:val="none" w:sz="0" w:space="0" w:color="auto"/>
        <w:left w:val="none" w:sz="0" w:space="0" w:color="auto"/>
        <w:bottom w:val="none" w:sz="0" w:space="0" w:color="auto"/>
        <w:right w:val="none" w:sz="0" w:space="0" w:color="auto"/>
      </w:divBdr>
    </w:div>
    <w:div w:id="414593994">
      <w:bodyDiv w:val="1"/>
      <w:marLeft w:val="0"/>
      <w:marRight w:val="0"/>
      <w:marTop w:val="0"/>
      <w:marBottom w:val="0"/>
      <w:divBdr>
        <w:top w:val="none" w:sz="0" w:space="0" w:color="auto"/>
        <w:left w:val="none" w:sz="0" w:space="0" w:color="auto"/>
        <w:bottom w:val="none" w:sz="0" w:space="0" w:color="auto"/>
        <w:right w:val="none" w:sz="0" w:space="0" w:color="auto"/>
      </w:divBdr>
    </w:div>
    <w:div w:id="659695594">
      <w:bodyDiv w:val="1"/>
      <w:marLeft w:val="0"/>
      <w:marRight w:val="0"/>
      <w:marTop w:val="0"/>
      <w:marBottom w:val="0"/>
      <w:divBdr>
        <w:top w:val="none" w:sz="0" w:space="0" w:color="auto"/>
        <w:left w:val="none" w:sz="0" w:space="0" w:color="auto"/>
        <w:bottom w:val="none" w:sz="0" w:space="0" w:color="auto"/>
        <w:right w:val="none" w:sz="0" w:space="0" w:color="auto"/>
      </w:divBdr>
    </w:div>
    <w:div w:id="1147474399">
      <w:bodyDiv w:val="1"/>
      <w:marLeft w:val="0"/>
      <w:marRight w:val="0"/>
      <w:marTop w:val="0"/>
      <w:marBottom w:val="0"/>
      <w:divBdr>
        <w:top w:val="none" w:sz="0" w:space="0" w:color="auto"/>
        <w:left w:val="none" w:sz="0" w:space="0" w:color="auto"/>
        <w:bottom w:val="none" w:sz="0" w:space="0" w:color="auto"/>
        <w:right w:val="none" w:sz="0" w:space="0" w:color="auto"/>
      </w:divBdr>
    </w:div>
    <w:div w:id="1404647392">
      <w:bodyDiv w:val="1"/>
      <w:marLeft w:val="0"/>
      <w:marRight w:val="0"/>
      <w:marTop w:val="0"/>
      <w:marBottom w:val="0"/>
      <w:divBdr>
        <w:top w:val="none" w:sz="0" w:space="0" w:color="auto"/>
        <w:left w:val="none" w:sz="0" w:space="0" w:color="auto"/>
        <w:bottom w:val="none" w:sz="0" w:space="0" w:color="auto"/>
        <w:right w:val="none" w:sz="0" w:space="0" w:color="auto"/>
      </w:divBdr>
    </w:div>
    <w:div w:id="1827941520">
      <w:bodyDiv w:val="1"/>
      <w:marLeft w:val="0"/>
      <w:marRight w:val="0"/>
      <w:marTop w:val="0"/>
      <w:marBottom w:val="0"/>
      <w:divBdr>
        <w:top w:val="none" w:sz="0" w:space="0" w:color="auto"/>
        <w:left w:val="none" w:sz="0" w:space="0" w:color="auto"/>
        <w:bottom w:val="none" w:sz="0" w:space="0" w:color="auto"/>
        <w:right w:val="none" w:sz="0" w:space="0" w:color="auto"/>
      </w:divBdr>
    </w:div>
    <w:div w:id="204721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2131</Words>
  <Characters>12151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wade eckert</dc:creator>
  <cp:lastModifiedBy>Wade Eckert</cp:lastModifiedBy>
  <cp:revision>4</cp:revision>
  <dcterms:created xsi:type="dcterms:W3CDTF">2026-07-21T05:27:00Z</dcterms:created>
  <dcterms:modified xsi:type="dcterms:W3CDTF">2026-07-21T06:22:00Z</dcterms:modified>
</cp:coreProperties>
</file>