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B2A4A"/>
          <w:sz w:val="36"/>
          <w:szCs w:val="36"/>
        </w:rPr>
        <w:t xml:space="preserve">Unexplored Methods for Training Frontier Models</w:t>
      </w:r>
    </w:p>
    <w:p>
      <w:pPr>
        <w:spacing w:after="60"/>
      </w:pPr>
      <w:r>
        <w:rPr>
          <w:rFonts w:ascii="Calibri" w:cs="Calibri" w:eastAsia="Calibri" w:hAnsi="Calibri"/>
          <w:color w:val="2A9D8F"/>
          <w:sz w:val="24"/>
          <w:szCs w:val="24"/>
        </w:rPr>
        <w:t xml:space="preserve">Where peer-reviewed evidence sits outside the converged frontier recipe</w:t>
      </w:r>
    </w:p>
    <w:p>
      <w:pPr>
        <w:pBdr>
          <w:bottom w:val="single" w:color="C8D2E0" w:sz="6" w:space="6"/>
        </w:pBdr>
        <w:spacing w:after="320"/>
      </w:pPr>
      <w:r>
        <w:rPr>
          <w:rFonts w:ascii="Calibri" w:cs="Calibri" w:eastAsia="Calibri" w:hAnsi="Calibri"/>
          <w:color w:val="5A6880"/>
          <w:sz w:val="19"/>
          <w:szCs w:val="19"/>
        </w:rPr>
        <w:t xml:space="preserve">B. Wade Lovell  |  September 2026  |  Evidence window: December 31, 2024 through September 5, 2026</w:t>
      </w:r>
    </w:p>
    <w:p>
      <w:pPr>
        <w:pStyle w:val="Heading1"/>
        <w:spacing w:after="140" w:before="300"/>
      </w:pPr>
      <w:r>
        <w:rPr>
          <w:rFonts w:ascii="Calibri" w:cs="Calibri" w:eastAsia="Calibri" w:hAnsi="Calibri"/>
          <w:b/>
          <w:bCs/>
          <w:color w:val="1B2A4A"/>
          <w:sz w:val="28"/>
          <w:szCs w:val="28"/>
        </w:rPr>
        <w:t xml:space="preserve">1. Thesis</w:t>
      </w:r>
    </w:p>
    <w:p>
      <w:pPr>
        <w:spacing w:after="160" w:line="276"/>
      </w:pPr>
      <w:r>
        <w:rPr>
          <w:rFonts w:ascii="Calibri" w:cs="Calibri" w:eastAsia="Calibri" w:hAnsi="Calibri"/>
          <w:sz w:val="22"/>
          <w:szCs w:val="22"/>
        </w:rPr>
        <w:t xml:space="preserve">The frontier converged in 2026 on one training recipe per path, so the unexplored methods are the ones that carry peer-reviewed evidence at academic scale and sit outside that recipe. The rival reading judges novelty by recency and treats the newest preprint as the unexplored method. Recency overstates the gap, because many recent methods already run inside the converged recipe under a lab's own name. Recency understates the gap, because methods with NeurIPS or ICML evidence at ten-billion-parameter scale appear in no recipe at all. Convergence supplies the mechanism. When three independent labs disclose the same choice at the same stage, a method absent from all three carries a specific address: the stage it belongs to, the scale at which peer review tested it, and the flagship that skipped it.</w:t>
      </w:r>
    </w:p>
    <w:p>
      <w:pPr>
        <w:pStyle w:val="Heading1"/>
        <w:spacing w:after="140" w:before="300"/>
      </w:pPr>
      <w:r>
        <w:rPr>
          <w:rFonts w:ascii="Calibri" w:cs="Calibri" w:eastAsia="Calibri" w:hAnsi="Calibri"/>
          <w:b/>
          <w:bCs/>
          <w:color w:val="1B2A4A"/>
          <w:sz w:val="28"/>
          <w:szCs w:val="28"/>
        </w:rPr>
        <w:t xml:space="preserve">2. Method</w:t>
      </w:r>
    </w:p>
    <w:p>
      <w:pPr>
        <w:spacing w:after="160" w:line="276"/>
      </w:pPr>
      <w:r>
        <w:rPr>
          <w:rFonts w:ascii="Calibri" w:cs="Calibri" w:eastAsia="Calibri" w:hAnsi="Calibri"/>
          <w:sz w:val="22"/>
          <w:szCs w:val="22"/>
        </w:rPr>
        <w:t xml:space="preserve">Two registers produce the finding. The evidence register grades every source on four tiers. Tier A is a peer-reviewed main track or journal. Tier B is under review. Tier C is an industrial technical report, model card, or lab post. Tier D is a preprint or post with no review signal, and workshop papers take Tier D. The frontier register records 67 model entries and what each one disclosed about its recipe.</w:t>
      </w:r>
    </w:p>
    <w:p>
      <w:pPr>
        <w:spacing w:after="160" w:line="276"/>
      </w:pPr>
      <w:r>
        <w:rPr>
          <w:rFonts w:ascii="Calibri" w:cs="Calibri" w:eastAsia="Calibri" w:hAnsi="Calibri"/>
          <w:sz w:val="22"/>
          <w:szCs w:val="22"/>
        </w:rPr>
        <w:t xml:space="preserve">Crossing the two registers yields an adoption matrix of 37 methods against six disclosing model families: Kimi K3, DeepSeek-V4, the GLM-5 line, Nemotron 3, the Qwen3 line, and MiniMax M1 through M2.7. Each cell reads disclosed, hinted, absent, undisclosed, or rejected, where rejected marks a method a report tested and dropped. A row whose every cell reads absent, undisclosed, or rejected is a gap, and a gap resting on undisclosed cells alone carries a provisional label.</w:t>
      </w:r>
    </w:p>
    <w:p>
      <w:pPr>
        <w:spacing w:after="160" w:line="276"/>
      </w:pPr>
      <w:r>
        <w:rPr>
          <w:rFonts w:ascii="Calibri" w:cs="Calibri" w:eastAsia="Calibri" w:hAnsi="Calibri"/>
          <w:sz w:val="22"/>
          <w:szCs w:val="22"/>
        </w:rPr>
        <w:t xml:space="preserve">Each gap then takes a grade. G1 marks a method proposed and untested at scale. G2 marks a method validated at scale and absent from frontier recipes. G3 marks a named open problem. G4 marks an untested combination of methods the frontier already runs. The run verified 316 sources against a primary page, 110 of them Tier A.</w:t>
      </w:r>
    </w:p>
    <w:p>
      <w:pPr>
        <w:pStyle w:val="Heading1"/>
        <w:spacing w:after="140" w:before="300"/>
      </w:pPr>
      <w:r>
        <w:rPr>
          <w:rFonts w:ascii="Calibri" w:cs="Calibri" w:eastAsia="Calibri" w:hAnsi="Calibri"/>
          <w:b/>
          <w:bCs/>
          <w:color w:val="1B2A4A"/>
          <w:sz w:val="28"/>
          <w:szCs w:val="28"/>
        </w:rPr>
        <w:t xml:space="preserve">3. What the frontier already runs</w:t>
      </w:r>
    </w:p>
    <w:p>
      <w:pPr>
        <w:spacing w:after="160" w:line="276"/>
      </w:pPr>
      <w:r>
        <w:rPr>
          <w:rFonts w:ascii="Calibri" w:cs="Calibri" w:eastAsia="Calibri" w:hAnsi="Calibri"/>
          <w:sz w:val="22"/>
          <w:szCs w:val="22"/>
        </w:rPr>
        <w:t xml:space="preserve">Moonshot, DeepSeek, and Zhipu converged in pretraining on four choices: a Muon-family optimizer, an attention stack that is sparse or partly linear, a structural upgrade to the residual stream, and an ultra-sparse mixture of experts under bias-based load balancing. Each keeps a multi-token-prediction head for speculative decoding, applies four-bit quantization-aware training in post-training, and extends context to one million tokens in a late-stage curriculum.</w:t>
      </w:r>
    </w:p>
    <w:p>
      <w:pPr>
        <w:spacing w:after="160" w:line="276"/>
      </w:pPr>
      <w:r>
        <w:rPr>
          <w:rFonts w:ascii="Calibri" w:cs="Calibri" w:eastAsia="Calibri" w:hAnsi="Calibri"/>
          <w:sz w:val="22"/>
          <w:szCs w:val="22"/>
        </w:rPr>
        <w:t xml:space="preserve">Kimi K3 trains 2.8 trillion parameters with 104 billion active, on 69 Kimi Delta Attention layers and 24 gated latent-attention layers, with Attention Residuals across depth, a Stable LatentMoE activating 16 of 896 experts under Quantile Balancing, and a Per-Head Muon optimizer on a cosine schedule. DeepSeek-V4 trains 1.6 trillion parameters with 49 billion active on 33 trillion tokens, interleaving Compressed Sparse Attention with Heavily Compressed Attention, replacing plain residuals with Manifold-Constrained Hyper-Connections, and running Muon with hybrid Newton-Schulz iterations. GLM-5 trains 744 billion parameters with 40 billion active on 28.5 trillion tokens and adds DeepSeek Sparse Attention through a 20-billion-token continued-pretraining adaptation. Three labs reached those four choices independently, within one year, at three different parameter counts.</w:t>
      </w:r>
    </w:p>
    <w:p>
      <w:pPr>
        <w:spacing w:after="160" w:line="276"/>
      </w:pPr>
      <w:r>
        <w:rPr>
          <w:rFonts w:ascii="Calibri" w:cs="Calibri" w:eastAsia="Calibri" w:hAnsi="Calibri"/>
          <w:sz w:val="22"/>
          <w:szCs w:val="22"/>
        </w:rPr>
        <w:t xml:space="preserve">The same three labs disclosed one post-training pipeline within five months of one another: a supervised cold start, then reinforcement learning that produces domain experts at several reasoning-effort levels, then on-policy distillation that consolidates those experts into one model.</w:t>
      </w:r>
    </w:p>
    <w:p>
      <w:pPr>
        <w:spacing w:after="160" w:line="276"/>
      </w:pPr>
      <w:r>
        <w:rPr>
          <w:rFonts w:ascii="Calibri" w:cs="Calibri" w:eastAsia="Calibri" w:hAnsi="Calibri"/>
          <w:sz w:val="22"/>
          <w:szCs w:val="22"/>
        </w:rPr>
        <w:t xml:space="preserve">Two disclosures move a method from absent to rejected. Under independent scaling-law searches for each schedule, cosine decay reached a lower final loss than warmup-stable-decay, and Kimi K3 adopted cosine. The per-token log-ratio reward matched top-k on-policy distillation objectives in convergence speed and final performance, and Kimi K3 kept the simpler objective. Both results hold Tier C and rest on one lab's runs.</w:t>
      </w:r>
    </w:p>
    <w:p>
      <w:pPr>
        <w:pStyle w:val="Heading1"/>
        <w:spacing w:after="140" w:before="300"/>
      </w:pPr>
      <w:r>
        <w:rPr>
          <w:rFonts w:ascii="Calibri" w:cs="Calibri" w:eastAsia="Calibri" w:hAnsi="Calibri"/>
          <w:b/>
          <w:bCs/>
          <w:color w:val="1B2A4A"/>
          <w:sz w:val="28"/>
          <w:szCs w:val="28"/>
        </w:rPr>
        <w:t xml:space="preserve">4. Where the evidence sits outside the recipe</w:t>
      </w:r>
    </w:p>
    <w:p>
      <w:pPr>
        <w:pStyle w:val="Heading2"/>
        <w:spacing w:after="140" w:before="300"/>
      </w:pPr>
      <w:r>
        <w:rPr>
          <w:rFonts w:ascii="Calibri" w:cs="Calibri" w:eastAsia="Calibri" w:hAnsi="Calibri"/>
          <w:b/>
          <w:bCs/>
          <w:color w:val="1B2A4A"/>
          <w:sz w:val="24"/>
          <w:szCs w:val="24"/>
        </w:rPr>
        <w:t xml:space="preserve">Pretraining from scratch</w:t>
      </w:r>
    </w:p>
    <w:p>
      <w:pPr>
        <w:spacing w:after="160" w:line="276"/>
      </w:pPr>
      <w:r>
        <w:rPr>
          <w:rFonts w:ascii="Calibri" w:cs="Calibri" w:eastAsia="Calibri" w:hAnsi="Calibri"/>
          <w:sz w:val="22"/>
          <w:szCs w:val="22"/>
        </w:rPr>
        <w:t xml:space="preserve">Peer review reached the flagships within six to twelve months for optimizers, native sparse attention, gated attention, global-batch load balancing, and efficient-MoE scaling laws. A second layer of peer-reviewed results sits outside every flagship.</w:t>
      </w:r>
    </w:p>
    <w:p>
      <w:pPr>
        <w:spacing w:after="160" w:line="276"/>
      </w:pPr>
      <w:r>
        <w:rPr>
          <w:rFonts w:ascii="Calibri" w:cs="Calibri" w:eastAsia="Calibri" w:hAnsi="Calibri"/>
          <w:sz w:val="22"/>
          <w:szCs w:val="22"/>
        </w:rPr>
        <w:t xml:space="preserve">Matrix-preconditioned optimizers hold a 1.4 times speedup over AdamW from 190 million to 1.4 billion parameters under maximal-update parameterization with weight decay scaled as one over width (Qiu et al., 2025, NeurIPS). Under standard parameterization that speedup vanishes with scale. Matching Muon's update RMS to Adam's, the heuristic that Kimi K3 and DeepSeek-V4 inherit from Moonlight, is an incorrect width scaling under the same analysis. The flagships settle the question by running Muon at 0.7 to 2.8 trillion parameters, and the parameterization-correct prescription stays untested at that scale. The optimizer the whole frontier runs carries the register's strongest single claim.</w:t>
      </w:r>
    </w:p>
    <w:p>
      <w:pPr>
        <w:spacing w:after="160" w:line="276"/>
      </w:pPr>
      <w:r>
        <w:rPr>
          <w:rFonts w:ascii="Calibri" w:cs="Calibri" w:eastAsia="Calibri" w:hAnsi="Calibri"/>
          <w:sz w:val="22"/>
          <w:szCs w:val="22"/>
        </w:rPr>
        <w:t xml:space="preserve">Linear decay to zero beats cosine, tenfold decay, and warmup-stable-decay, and its advantage grows with tokens per parameter (Bergsma et al., 2025, ICLR). Kimi K3 compared two schedules and adopted cosine. The Tier A winner was the third.</w:t>
      </w:r>
    </w:p>
    <w:p>
      <w:pPr>
        <w:pStyle w:val="Heading2"/>
        <w:spacing w:after="140" w:before="300"/>
      </w:pPr>
      <w:r>
        <w:rPr>
          <w:rFonts w:ascii="Calibri" w:cs="Calibri" w:eastAsia="Calibri" w:hAnsi="Calibri"/>
          <w:b/>
          <w:bCs/>
          <w:color w:val="1B2A4A"/>
          <w:sz w:val="24"/>
          <w:szCs w:val="24"/>
        </w:rPr>
        <w:t xml:space="preserve">Distillation</w:t>
      </w:r>
    </w:p>
    <w:p>
      <w:pPr>
        <w:spacing w:after="160" w:line="276"/>
      </w:pPr>
      <w:r>
        <w:rPr>
          <w:rFonts w:ascii="Calibri" w:cs="Calibri" w:eastAsia="Calibri" w:hAnsi="Calibri"/>
          <w:sz w:val="22"/>
          <w:szCs w:val="22"/>
        </w:rPr>
        <w:t xml:space="preserve">On-policy distillation moved from a proposal to the consolidation stage of every disclosed frontier recipe within twelve months, and the peer-reviewed literature documents nine properties of it that every frontier report leaves unmeasured. A distillation scaling law exists for the offline form at 12.6 billion parameters (Busbridge et al., 2025, ICML), and four labs now run the on-policy form for days of frontier compute with no law to size it. Multi-teacher distillation from a cross-family teacher breaks the adopted method, and the peer-reviewed fix stops at 8 billion parameters. The teacher signal decays along long trajectories, and frontier reports apply on-policy distillation to agentic tasks with no stated remedy.</w:t>
      </w:r>
    </w:p>
    <w:p>
      <w:pPr>
        <w:pStyle w:val="Heading2"/>
        <w:spacing w:after="140" w:before="300"/>
      </w:pPr>
      <w:r>
        <w:rPr>
          <w:rFonts w:ascii="Calibri" w:cs="Calibri" w:eastAsia="Calibri" w:hAnsi="Calibri"/>
          <w:b/>
          <w:bCs/>
          <w:color w:val="1B2A4A"/>
          <w:sz w:val="24"/>
          <w:szCs w:val="24"/>
        </w:rPr>
        <w:t xml:space="preserve">Adaptation of open-weights bases</w:t>
      </w:r>
    </w:p>
    <w:p>
      <w:pPr>
        <w:spacing w:after="160" w:line="276"/>
      </w:pPr>
      <w:r>
        <w:rPr>
          <w:rFonts w:ascii="Calibri" w:cs="Calibri" w:eastAsia="Calibri" w:hAnsi="Calibri"/>
          <w:sz w:val="22"/>
          <w:szCs w:val="22"/>
        </w:rPr>
        <w:t xml:space="preserve">Router-weighted expert saliency prunes 50 percent of the experts from Qwen3-Coder-480B and Kimi-K2 at under 2 percent loss (Lasby et al., 2026, ICLR). That result is Tier A validation on a trillion-parameter checkpoint, and every flagship ships unpruned. Peer-reviewed evidence at frontier scale is rare, which makes this the cleanest gap in the register.</w:t>
      </w:r>
    </w:p>
    <w:p>
      <w:pPr>
        <w:spacing w:after="160" w:line="276"/>
      </w:pPr>
      <w:r>
        <w:rPr>
          <w:rFonts w:ascii="Calibri" w:cs="Calibri" w:eastAsia="Calibri" w:hAnsi="Calibri"/>
          <w:sz w:val="22"/>
          <w:szCs w:val="22"/>
        </w:rPr>
        <w:t xml:space="preserve">A three-stage protocol converts Qwen2.5 models at 7, 32, and 72 billion parameters to linear-attention decoders using under 0.005 percent of the teacher's pretraining tokens (Goldstein et al., 2025, COLM). GLM-5 ran conversion ablations at 744 billion parameters, found a residual gap of 5.7 to 7.3 points on every sliding-window and gated-delta variant it tried, and adopted sparse attention instead. That residual gap has a Tier A diagnosis: which layers keep softmax attention governs the outcome, and scoring each layer by the KL reduction from restoring it beats fixed-ratio interleaving (Li et al., 2026, ICLR). The selection method was tested at 3 billion parameters. The frontier ran the conversion at 744 billion without it, so the lab and the literature passed each other.</w:t>
      </w:r>
    </w:p>
    <w:p>
      <w:pPr>
        <w:pStyle w:val="Heading2"/>
        <w:spacing w:after="140" w:before="300"/>
      </w:pPr>
      <w:r>
        <w:rPr>
          <w:rFonts w:ascii="Calibri" w:cs="Calibri" w:eastAsia="Calibri" w:hAnsi="Calibri"/>
          <w:b/>
          <w:bCs/>
          <w:color w:val="1B2A4A"/>
          <w:sz w:val="24"/>
          <w:szCs w:val="24"/>
        </w:rPr>
        <w:t xml:space="preserve">Post-training</w:t>
      </w:r>
    </w:p>
    <w:p>
      <w:pPr>
        <w:spacing w:after="160" w:line="276"/>
      </w:pPr>
      <w:r>
        <w:rPr>
          <w:rFonts w:ascii="Calibri" w:cs="Calibri" w:eastAsia="Calibri" w:hAnsi="Calibri"/>
          <w:sz w:val="22"/>
          <w:szCs w:val="22"/>
        </w:rPr>
        <w:t xml:space="preserve">The frontier names one gap in its own words. GLM-5.3 synthesizes environments and verifiers through research agents and a judge agent, reports that the pipelines still require a meaningful amount of human-in-the-loop work, and names autonomous environment generation as one of its next steps. Peer-reviewed self-play reaches 14 billion parameters, and a challenger-solver pair at 4 billion collapses after about three iterations. Each side awaits the other's trial.</w:t>
      </w:r>
    </w:p>
    <w:p>
      <w:pPr>
        <w:spacing w:after="160" w:line="276"/>
      </w:pPr>
      <w:r>
        <w:rPr>
          <w:rFonts w:ascii="Calibri" w:cs="Calibri" w:eastAsia="Calibri" w:hAnsi="Calibri"/>
          <w:sz w:val="22"/>
          <w:szCs w:val="22"/>
        </w:rPr>
        <w:t xml:space="preserve">Restricting policy-gradient updates to the 20 percent of tokens with the highest entropy adds 11 points on AIME 2025 for a 32-billion base, with a gain that grows with scale (Wang et al., 2025, NeurIPS). Frontier objectives stay dense over all tokens. A 400,000-GPU-hour study fits compute-performance curves and finds loss aggregation, curriculum, length penalty, and advantage normalization moving the efficiency term while context length and model size move the asymptote (Khatri et al., 2026, ICLR oral). GLM-5.3 spent a month of post-training compute on a fixed base and raised Terminal-Bench 3.0 from 4.6 to 28.3, with the asymptote unfitted.</w:t>
      </w:r>
    </w:p>
    <w:p>
      <w:pPr>
        <w:pStyle w:val="Heading1"/>
        <w:spacing w:after="140" w:before="300"/>
      </w:pPr>
      <w:r>
        <w:rPr>
          <w:rFonts w:ascii="Calibri" w:cs="Calibri" w:eastAsia="Calibri" w:hAnsi="Calibri"/>
          <w:b/>
          <w:bCs/>
          <w:color w:val="1B2A4A"/>
          <w:sz w:val="28"/>
          <w:szCs w:val="28"/>
        </w:rPr>
        <w:t xml:space="preserve">5. The ranked gaps</w:t>
      </w:r>
    </w:p>
    <w:p>
      <w:pPr>
        <w:spacing w:after="160" w:line="276"/>
      </w:pPr>
      <w:r>
        <w:rPr>
          <w:rFonts w:ascii="Calibri" w:cs="Calibri" w:eastAsia="Calibri" w:hAnsi="Calibri"/>
          <w:sz w:val="22"/>
          <w:szCs w:val="22"/>
        </w:rPr>
        <w:t xml:space="preserve">Thirty-seven graded gaps came out of the four paths, and twenty combine the strongest evidence with the largest tested scale and the clearest frontier absence. Four rules order them. Tier A evidence outranks Tier B or Tier D evidence at the same scale. A method tested above 30 billion parameters outranks one tested below. A gap on a stage every disclosed flagship runs outranks a gap on a stage some flagships skip. A gap the frontier names in its own words outranks a gap only academics name.</w:t>
      </w:r>
    </w:p>
    <w:p>
      <w:pPr>
        <w:spacing w:after="100" w:before="60"/>
      </w:pPr>
      <w:r>
        <w:rPr>
          <w:rFonts w:ascii="Calibri" w:cs="Calibri" w:eastAsia="Calibri" w:hAnsi="Calibri"/>
          <w:i/>
          <w:iCs/>
          <w:color w:val="5A6880"/>
          <w:sz w:val="18"/>
          <w:szCs w:val="18"/>
        </w:rPr>
        <w:t xml:space="preserve">Top ten of the twenty ranked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950"/>
        <w:gridCol w:w="660"/>
        <w:gridCol w:w="2860"/>
        <w:gridCol w:w="2250"/>
      </w:tblGrid>
      <w:tr>
        <w:trPr>
          <w:tblHeader/>
        </w:trPr>
        <w:tc>
          <w:tcPr>
            <w:tcW w:type="dxa" w:w="640"/>
            <w:shd w:fill="E8EDF4"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Rank</w:t>
            </w:r>
          </w:p>
        </w:tc>
        <w:tc>
          <w:tcPr>
            <w:tcW w:type="dxa" w:w="2950"/>
            <w:shd w:fill="E8EDF4"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Gap</w:t>
            </w:r>
          </w:p>
        </w:tc>
        <w:tc>
          <w:tcPr>
            <w:tcW w:type="dxa" w:w="660"/>
            <w:shd w:fill="E8EDF4"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Grade</w:t>
            </w:r>
          </w:p>
        </w:tc>
        <w:tc>
          <w:tcPr>
            <w:tcW w:type="dxa" w:w="2860"/>
            <w:shd w:fill="E8EDF4"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Strongest evidence</w:t>
            </w:r>
          </w:p>
        </w:tc>
        <w:tc>
          <w:tcPr>
            <w:tcW w:type="dxa" w:w="2250"/>
            <w:shd w:fill="E8EDF4"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Largest scale tested</w:t>
            </w:r>
          </w:p>
        </w:tc>
      </w:tr>
      <w:tr>
        <w:trPr>
          <w:tblHeader w:val="false"/>
        </w:trPr>
        <w:tc>
          <w:tcPr>
            <w:tcW w:type="dxa" w:w="64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1</w:t>
            </w:r>
          </w:p>
        </w:tc>
        <w:tc>
          <w:tcPr>
            <w:tcW w:type="dxa" w:w="295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Parameterization-correct hyperparameter transfer for Muon-family optimizers</w:t>
            </w:r>
          </w:p>
        </w:tc>
        <w:tc>
          <w:tcPr>
            <w:tcW w:type="dxa" w:w="6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G4</w:t>
            </w:r>
          </w:p>
        </w:tc>
        <w:tc>
          <w:tcPr>
            <w:tcW w:type="dxa" w:w="28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A, NeurIPS 2025 (two papers)</w:t>
            </w:r>
          </w:p>
        </w:tc>
        <w:tc>
          <w:tcPr>
            <w:tcW w:type="dxa" w:w="225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1.9B</w:t>
            </w:r>
          </w:p>
        </w:tc>
      </w:tr>
      <w:tr>
        <w:trPr>
          <w:tblHeader w:val="false"/>
        </w:trPr>
        <w:tc>
          <w:tcPr>
            <w:tcW w:type="dxa" w:w="64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2</w:t>
            </w:r>
          </w:p>
        </w:tc>
        <w:tc>
          <w:tcPr>
            <w:tcW w:type="dxa" w:w="295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Autonomous environment, task, and verifier generation</w:t>
            </w:r>
          </w:p>
        </w:tc>
        <w:tc>
          <w:tcPr>
            <w:tcW w:type="dxa" w:w="6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G3</w:t>
            </w:r>
          </w:p>
        </w:tc>
        <w:tc>
          <w:tcPr>
            <w:tcW w:type="dxa" w:w="28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A, NeurIPS 2025 and ICLR 2026</w:t>
            </w:r>
          </w:p>
        </w:tc>
        <w:tc>
          <w:tcPr>
            <w:tcW w:type="dxa" w:w="225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30B (Tier D)</w:t>
            </w:r>
          </w:p>
        </w:tc>
      </w:tr>
      <w:tr>
        <w:trPr>
          <w:tblHeader w:val="false"/>
        </w:trPr>
        <w:tc>
          <w:tcPr>
            <w:tcW w:type="dxa" w:w="64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3</w:t>
            </w:r>
          </w:p>
        </w:tc>
        <w:tc>
          <w:tcPr>
            <w:tcW w:type="dxa" w:w="295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Expert pruning of a frontier mixture of experts</w:t>
            </w:r>
          </w:p>
        </w:tc>
        <w:tc>
          <w:tcPr>
            <w:tcW w:type="dxa" w:w="6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G2</w:t>
            </w:r>
          </w:p>
        </w:tc>
        <w:tc>
          <w:tcPr>
            <w:tcW w:type="dxa" w:w="28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A, ICLR 2026</w:t>
            </w:r>
          </w:p>
        </w:tc>
        <w:tc>
          <w:tcPr>
            <w:tcW w:type="dxa" w:w="225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1T (Kimi-K2)</w:t>
            </w:r>
          </w:p>
        </w:tc>
      </w:tr>
      <w:tr>
        <w:trPr>
          <w:tblHeader w:val="false"/>
        </w:trPr>
        <w:tc>
          <w:tcPr>
            <w:tcW w:type="dxa" w:w="64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4</w:t>
            </w:r>
          </w:p>
        </w:tc>
        <w:tc>
          <w:tcPr>
            <w:tcW w:type="dxa" w:w="295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Entropy-selective token updates in reinforcement learning</w:t>
            </w:r>
          </w:p>
        </w:tc>
        <w:tc>
          <w:tcPr>
            <w:tcW w:type="dxa" w:w="6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G2</w:t>
            </w:r>
          </w:p>
        </w:tc>
        <w:tc>
          <w:tcPr>
            <w:tcW w:type="dxa" w:w="28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A, NeurIPS 2025</w:t>
            </w:r>
          </w:p>
        </w:tc>
        <w:tc>
          <w:tcPr>
            <w:tcW w:type="dxa" w:w="225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32B</w:t>
            </w:r>
          </w:p>
        </w:tc>
      </w:tr>
      <w:tr>
        <w:trPr>
          <w:tblHeader w:val="false"/>
        </w:trPr>
        <w:tc>
          <w:tcPr>
            <w:tcW w:type="dxa" w:w="64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5</w:t>
            </w:r>
          </w:p>
        </w:tc>
        <w:tc>
          <w:tcPr>
            <w:tcW w:type="dxa" w:w="295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Scaling law for on-policy distillation</w:t>
            </w:r>
          </w:p>
        </w:tc>
        <w:tc>
          <w:tcPr>
            <w:tcW w:type="dxa" w:w="6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G3</w:t>
            </w:r>
          </w:p>
        </w:tc>
        <w:tc>
          <w:tcPr>
            <w:tcW w:type="dxa" w:w="28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A, ICML 2025 (offline law)</w:t>
            </w:r>
          </w:p>
        </w:tc>
        <w:tc>
          <w:tcPr>
            <w:tcW w:type="dxa" w:w="225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12.6B</w:t>
            </w:r>
          </w:p>
        </w:tc>
      </w:tr>
      <w:tr>
        <w:trPr>
          <w:tblHeader w:val="false"/>
        </w:trPr>
        <w:tc>
          <w:tcPr>
            <w:tcW w:type="dxa" w:w="64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6</w:t>
            </w:r>
          </w:p>
        </w:tc>
        <w:tc>
          <w:tcPr>
            <w:tcW w:type="dxa" w:w="295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Which knobs raise the reinforcement-learning asymptote</w:t>
            </w:r>
          </w:p>
        </w:tc>
        <w:tc>
          <w:tcPr>
            <w:tcW w:type="dxa" w:w="6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G3</w:t>
            </w:r>
          </w:p>
        </w:tc>
        <w:tc>
          <w:tcPr>
            <w:tcW w:type="dxa" w:w="28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A, ICLR 2026 oral</w:t>
            </w:r>
          </w:p>
        </w:tc>
        <w:tc>
          <w:tcPr>
            <w:tcW w:type="dxa" w:w="225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17B x 16 MoE</w:t>
            </w:r>
          </w:p>
        </w:tc>
      </w:tr>
      <w:tr>
        <w:trPr>
          <w:tblHeader w:val="false"/>
        </w:trPr>
        <w:tc>
          <w:tcPr>
            <w:tcW w:type="dxa" w:w="64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7</w:t>
            </w:r>
          </w:p>
        </w:tc>
        <w:tc>
          <w:tcPr>
            <w:tcW w:type="dxa" w:w="295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KL-guided layer selection before linear or hybrid conversion</w:t>
            </w:r>
          </w:p>
        </w:tc>
        <w:tc>
          <w:tcPr>
            <w:tcW w:type="dxa" w:w="6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G2</w:t>
            </w:r>
          </w:p>
        </w:tc>
        <w:tc>
          <w:tcPr>
            <w:tcW w:type="dxa" w:w="28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A, COLM 2025; ICLR 2026</w:t>
            </w:r>
          </w:p>
        </w:tc>
        <w:tc>
          <w:tcPr>
            <w:tcW w:type="dxa" w:w="225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72B</w:t>
            </w:r>
          </w:p>
        </w:tc>
      </w:tr>
      <w:tr>
        <w:trPr>
          <w:tblHeader w:val="false"/>
        </w:trPr>
        <w:tc>
          <w:tcPr>
            <w:tcW w:type="dxa" w:w="64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8</w:t>
            </w:r>
          </w:p>
        </w:tc>
        <w:tc>
          <w:tcPr>
            <w:tcW w:type="dxa" w:w="295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Cross-family and cross-tokenizer distillation</w:t>
            </w:r>
          </w:p>
        </w:tc>
        <w:tc>
          <w:tcPr>
            <w:tcW w:type="dxa" w:w="6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G1</w:t>
            </w:r>
          </w:p>
        </w:tc>
        <w:tc>
          <w:tcPr>
            <w:tcW w:type="dxa" w:w="28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A, NeurIPS 2025</w:t>
            </w:r>
          </w:p>
        </w:tc>
        <w:tc>
          <w:tcPr>
            <w:tcW w:type="dxa" w:w="225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8B</w:t>
            </w:r>
          </w:p>
        </w:tc>
      </w:tr>
      <w:tr>
        <w:trPr>
          <w:tblHeader w:val="false"/>
        </w:trPr>
        <w:tc>
          <w:tcPr>
            <w:tcW w:type="dxa" w:w="64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9</w:t>
            </w:r>
          </w:p>
        </w:tc>
        <w:tc>
          <w:tcPr>
            <w:tcW w:type="dxa" w:w="295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Linear decay to zero and optimized schedules</w:t>
            </w:r>
          </w:p>
        </w:tc>
        <w:tc>
          <w:tcPr>
            <w:tcW w:type="dxa" w:w="6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G2</w:t>
            </w:r>
          </w:p>
        </w:tc>
        <w:tc>
          <w:tcPr>
            <w:tcW w:type="dxa" w:w="28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A, ICLR 2025 (two papers)</w:t>
            </w:r>
          </w:p>
        </w:tc>
        <w:tc>
          <w:tcPr>
            <w:tcW w:type="dxa" w:w="225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1.7B</w:t>
            </w:r>
          </w:p>
        </w:tc>
      </w:tr>
      <w:tr>
        <w:trPr>
          <w:tblHeader w:val="false"/>
        </w:trPr>
        <w:tc>
          <w:tcPr>
            <w:tcW w:type="dxa" w:w="64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10</w:t>
            </w:r>
          </w:p>
        </w:tc>
        <w:tc>
          <w:tcPr>
            <w:tcW w:type="dxa" w:w="295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End-to-end learned reasoning-effort control</w:t>
            </w:r>
          </w:p>
        </w:tc>
        <w:tc>
          <w:tcPr>
            <w:tcW w:type="dxa" w:w="6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G2</w:t>
            </w:r>
          </w:p>
        </w:tc>
        <w:tc>
          <w:tcPr>
            <w:tcW w:type="dxa" w:w="28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A, COLM 2025; NeurIPS 2025; EMNLP 2025</w:t>
            </w:r>
          </w:p>
        </w:tc>
        <w:tc>
          <w:tcPr>
            <w:tcW w:type="dxa" w:w="225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7B</w:t>
            </w:r>
          </w:p>
        </w:tc>
      </w:tr>
    </w:tbl>
    <w:p>
      <w:pPr>
        <w:spacing w:after="200" w:line="276"/>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Rank 1 sits in pretraining, where a single run costs the most and an untested improvement compounds over the longest horizon. A 10 percent efficiency claim in pretraining is worth more than a 10 point benchmark claim in post-training. Rank 2 sits where the frontier says it is blocked, so the gap has a customer before it has a method.</w:t>
      </w:r>
    </w:p>
    <w:p>
      <w:pPr>
        <w:pStyle w:val="Heading1"/>
        <w:spacing w:after="140" w:before="300"/>
      </w:pPr>
      <w:r>
        <w:rPr>
          <w:rFonts w:ascii="Calibri" w:cs="Calibri" w:eastAsia="Calibri" w:hAnsi="Calibri"/>
          <w:b/>
          <w:bCs/>
          <w:color w:val="1B2A4A"/>
          <w:sz w:val="28"/>
          <w:szCs w:val="28"/>
        </w:rPr>
        <w:t xml:space="preserve">6. What the method itself taught</w:t>
      </w:r>
    </w:p>
    <w:p>
      <w:pPr>
        <w:spacing w:after="160" w:line="276"/>
      </w:pPr>
      <w:r>
        <w:rPr>
          <w:rFonts w:ascii="Calibri" w:cs="Calibri" w:eastAsia="Calibri" w:hAnsi="Calibri"/>
          <w:sz w:val="22"/>
          <w:szCs w:val="22"/>
        </w:rPr>
        <w:t xml:space="preserve">Two corrections landed after the first draft, and both came from applying the register's own rules rather than from new literature.</w:t>
      </w:r>
    </w:p>
    <w:p>
      <w:pPr>
        <w:spacing w:after="160" w:line="276"/>
      </w:pPr>
      <w:r>
        <w:rPr>
          <w:rFonts w:ascii="Calibri" w:cs="Calibri" w:eastAsia="Calibri" w:hAnsi="Calibri"/>
          <w:sz w:val="22"/>
          <w:szCs w:val="22"/>
        </w:rPr>
        <w:t xml:space="preserve">The frontier register surfaced a disclosure the first reading had missed. Nemotron 3 Super merges checkpoints through its stable phase and selects a 500-billion-token merge as its final base. That one Tier C disclosure moved checkpoint merging from rank 3 to rank 14 and from G2 to G3, because a method one flagship discloses stops being absent everywhere.</w:t>
      </w:r>
    </w:p>
    <w:p>
      <w:pPr>
        <w:spacing w:after="160" w:line="276"/>
      </w:pPr>
      <w:r>
        <w:rPr>
          <w:rFonts w:ascii="Calibri" w:cs="Calibri" w:eastAsia="Calibri" w:hAnsi="Calibri"/>
          <w:sz w:val="22"/>
          <w:szCs w:val="22"/>
        </w:rPr>
        <w:t xml:space="preserve">A verification pass then corrected a tier. Foreign Sparse Attention had entered the register as a Tier B OpenReview submission, and the ICML page lists it as a poster in the ES-FoMo III workshop. Workshop status assigns Tier D, and the matrix admits Tier A and Tier B methods only. The row left the matrix, which fell from 38 methods to 37. Its G1 gap left the Path 3 list, which fell from ten interventions to nine. The graded-gap total moved to 37, and Path 3 tier counts moved to 27 Tier A, 9 Tier B, 20 Tier C, and 39 Tier D. The ranked table of twenty excluded that gap from the start, so the headline findings held.</w:t>
      </w:r>
    </w:p>
    <w:p>
      <w:pPr>
        <w:spacing w:after="160" w:line="276"/>
      </w:pPr>
      <w:r>
        <w:rPr>
          <w:rFonts w:ascii="Calibri" w:cs="Calibri" w:eastAsia="Calibri" w:hAnsi="Calibri"/>
          <w:sz w:val="22"/>
          <w:szCs w:val="22"/>
        </w:rPr>
        <w:t xml:space="preserve">The venue field is load-bearing. One fact about where a paper appeared propagated through the matrix, a path list, four counts, and a renumbering. A register that carries quoted tier evidence for every source makes that propagation mechanical and auditable. A bibliography that carries titles alone hides it. The same discipline caught the checkpoint-merging error, which means the register corrected its own author twice.</w:t>
      </w:r>
    </w:p>
    <w:p>
      <w:pPr>
        <w:pStyle w:val="Heading1"/>
        <w:spacing w:after="140" w:before="300"/>
      </w:pPr>
      <w:r>
        <w:rPr>
          <w:rFonts w:ascii="Calibri" w:cs="Calibri" w:eastAsia="Calibri" w:hAnsi="Calibri"/>
          <w:b/>
          <w:bCs/>
          <w:color w:val="1B2A4A"/>
          <w:sz w:val="28"/>
          <w:szCs w:val="28"/>
        </w:rPr>
        <w:t xml:space="preserve">7. Limits</w:t>
      </w:r>
    </w:p>
    <w:p>
      <w:pPr>
        <w:pStyle w:val="ListParagraph"/>
        <w:numPr>
          <w:ilvl w:val="0"/>
          <w:numId w:val="2"/>
        </w:numPr>
        <w:spacing w:after="100" w:line="276"/>
      </w:pPr>
      <w:r>
        <w:rPr>
          <w:rFonts w:ascii="Calibri" w:cs="Calibri" w:eastAsia="Calibri" w:hAnsi="Calibri"/>
          <w:sz w:val="22"/>
          <w:szCs w:val="22"/>
        </w:rPr>
        <w:t xml:space="preserve">Non-disclosure bounds every finding. Absence in a report means the report omits the method, so a lab running a method in-house without saying so would turn a G2 into an adoption. The matrix separates absent, where the report describes the stage and omits the method, from undisclosed, where the report leaves the stage unaddressed.</w:t>
      </w:r>
    </w:p>
    <w:p>
      <w:pPr>
        <w:pStyle w:val="ListParagraph"/>
        <w:numPr>
          <w:ilvl w:val="0"/>
          <w:numId w:val="2"/>
        </w:numPr>
        <w:spacing w:after="100" w:line="276"/>
      </w:pPr>
      <w:r>
        <w:rPr>
          <w:rFonts w:ascii="Calibri" w:cs="Calibri" w:eastAsia="Calibri" w:hAnsi="Calibri"/>
          <w:sz w:val="22"/>
          <w:szCs w:val="22"/>
        </w:rPr>
        <w:t xml:space="preserve">Disclosure asymmetry sets what the frontier means here. The six matrix columns belong to Chinese labs and NVIDIA because those labs disclose recipes. Proprietary system cards from OpenAI, Anthropic, and Google disclose evaluations and effort modes and describe no training algorithm, so every finding about the frontier is a finding about its disclosing half.</w:t>
      </w:r>
    </w:p>
    <w:p>
      <w:pPr>
        <w:pStyle w:val="ListParagraph"/>
        <w:numPr>
          <w:ilvl w:val="0"/>
          <w:numId w:val="2"/>
        </w:numPr>
        <w:spacing w:after="100" w:line="276"/>
      </w:pPr>
      <w:r>
        <w:rPr>
          <w:rFonts w:ascii="Calibri" w:cs="Calibri" w:eastAsia="Calibri" w:hAnsi="Calibri"/>
          <w:sz w:val="22"/>
          <w:szCs w:val="22"/>
        </w:rPr>
        <w:t xml:space="preserve">Family effects carry an unmeasured term. Random rewards improve Qwen2.5-Math through clipping bias and leave other families unchanged, and entropy-minimization gains appear on Qwen and vanish on Llama. Every Tier A result below 10 billion parameters that used one family inherits that risk.</w:t>
      </w:r>
    </w:p>
    <w:p>
      <w:pPr>
        <w:pStyle w:val="ListParagraph"/>
        <w:numPr>
          <w:ilvl w:val="0"/>
          <w:numId w:val="2"/>
        </w:numPr>
        <w:spacing w:after="100" w:line="276"/>
      </w:pPr>
      <w:r>
        <w:rPr>
          <w:rFonts w:ascii="Calibri" w:cs="Calibri" w:eastAsia="Calibri" w:hAnsi="Calibri"/>
          <w:sz w:val="22"/>
          <w:szCs w:val="22"/>
        </w:rPr>
        <w:t xml:space="preserve">Recency will move the ranking. Twenty Tier B items await NeurIPS 2026 decisions on September 24, 2026, and the order shifts if the entropy-mechanism, pass@k, and implicit-process-reward submissions publish.</w:t>
      </w:r>
    </w:p>
    <w:p>
      <w:pPr>
        <w:pStyle w:val="ListParagraph"/>
        <w:numPr>
          <w:ilvl w:val="0"/>
          <w:numId w:val="2"/>
        </w:numPr>
        <w:spacing w:after="100" w:line="276"/>
      </w:pPr>
      <w:r>
        <w:rPr>
          <w:rFonts w:ascii="Calibri" w:cs="Calibri" w:eastAsia="Calibri" w:hAnsi="Calibri"/>
          <w:sz w:val="22"/>
          <w:szCs w:val="22"/>
        </w:rPr>
        <w:t xml:space="preserve">Channel bias and single-session execution remain. Search ranks by traffic, corrected here with venue filters and reference snowballing from six seed reports. The sweep ran on one date with one set of tools, and the search log records every query so a later run can measure drift.</w:t>
      </w:r>
    </w:p>
    <w:p>
      <w:pPr>
        <w:pStyle w:val="Heading1"/>
        <w:spacing w:after="140" w:before="300"/>
      </w:pPr>
      <w:r>
        <w:rPr>
          <w:rFonts w:ascii="Calibri" w:cs="Calibri" w:eastAsia="Calibri" w:hAnsi="Calibri"/>
          <w:b/>
          <w:bCs/>
          <w:color w:val="1B2A4A"/>
          <w:sz w:val="28"/>
          <w:szCs w:val="28"/>
        </w:rPr>
        <w:t xml:space="preserve">8. Conclusion</w:t>
      </w:r>
    </w:p>
    <w:p>
      <w:pPr>
        <w:spacing w:after="160" w:line="276"/>
      </w:pPr>
      <w:r>
        <w:rPr>
          <w:rFonts w:ascii="Calibri" w:cs="Calibri" w:eastAsia="Calibri" w:hAnsi="Calibri"/>
          <w:sz w:val="22"/>
          <w:szCs w:val="22"/>
        </w:rPr>
        <w:t xml:space="preserve">The frontier converged in 2026 on one training recipe per path, and the unexplored methods are the ones that carry peer-reviewed evidence at academic scale and sit outside that recipe. On the pretraining path, the converged recipe runs a Muon-family optimizer, a sparse or partly linear attention stack, a residual-stream upgrade, and an ultra-sparse mixture of experts, and it leaves parameterization-correct transfer, schedule choice, and memory layers on the peer-reviewed side of the line. On the distillation path, the recipe consolidates experts by on-policy distillation and leaves its scaling law, its cross-family form, and its long-horizon decay unmeasured. On the open-weights path, the recipe converts attention and prunes dense models and leaves layer-selected conversion, expert pruning, and merge-then-distill untried at the scale where peer review already tested them. On the post-training path, the recipe scales reinforcement-learning compute and synthesizes environments by hand, and it leaves the asymptote, the sparse token signal, and autonomous environment generation to the literature that has already named them.</w:t>
      </w:r>
    </w:p>
    <w:p>
      <w:pPr>
        <w:spacing w:after="160" w:line="276"/>
      </w:pPr>
      <w:r>
        <w:rPr>
          <w:rFonts w:ascii="Calibri" w:cs="Calibri" w:eastAsia="Calibri" w:hAnsi="Calibri"/>
          <w:sz w:val="22"/>
          <w:szCs w:val="22"/>
        </w:rPr>
        <w:t xml:space="preserve">Convergence of that breadth made absence measurable. The rival reading, novelty by recency, would have surfaced the newest on-policy distillation variants. It would have missed the NeurIPS 2025 result that ranks first, a hyperparameter-transfer prescription that every flagship replaces with a heuristic. It would have missed the ICLR 2026 result that ranks third, an expert-pruning method validated on a trillion-parameter checkpoint that every flagship ships unpruned. Two registers, one matrix, four grades, and one ranking found them.</w:t>
      </w:r>
    </w:p>
    <w:p>
      <w:pPr>
        <w:pBdr>
          <w:top w:val="single" w:color="C8D2E0" w:sz="6" w:space="6"/>
        </w:pBdr>
        <w:spacing w:before="360"/>
      </w:pPr>
      <w:r>
        <w:rPr>
          <w:rFonts w:ascii="Calibri" w:cs="Calibri" w:eastAsia="Calibri" w:hAnsi="Calibri"/>
          <w:i/>
          <w:iCs/>
          <w:color w:val="5A6880"/>
          <w:sz w:val="18"/>
          <w:szCs w:val="18"/>
        </w:rPr>
        <w:t xml:space="preserve">Full program: research plan, 11,800-word report, 316-source reference list with quoted tier evidence, and the complete search log at github.com/WadeLovell/wadelovell-portfolio under research/frontier-training-methods.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Unexplored Methods for Training Frontier Models</dc:title>
  <dc:creator>B. Wade Lovell</dc:creator>
  <dc:description>A condensed report on where peer-reviewed evidence sits outside the converged frontier training recipe.</dc:description>
  <cp:lastModifiedBy>Un-named</cp:lastModifiedBy>
  <cp:revision>1</cp:revision>
  <dcterms:created xsi:type="dcterms:W3CDTF">2026-09-06T04:57:25.662Z</dcterms:created>
  <dcterms:modified xsi:type="dcterms:W3CDTF">2026-09-06T04:57:25.662Z</dcterms:modified>
</cp:coreProperties>
</file>

<file path=docProps/custom.xml><?xml version="1.0" encoding="utf-8"?>
<Properties xmlns="http://schemas.openxmlformats.org/officeDocument/2006/custom-properties" xmlns:vt="http://schemas.openxmlformats.org/officeDocument/2006/docPropsVTypes"/>
</file>