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0E717" w14:textId="77777777" w:rsidR="002F7650" w:rsidRPr="00B07E41" w:rsidRDefault="002F7650">
      <w:pPr>
        <w:spacing w:before="16"/>
        <w:ind w:left="260" w:right="273"/>
        <w:jc w:val="center"/>
        <w:rPr>
          <w:rFonts w:ascii="Aptos" w:hAnsi="Aptos"/>
        </w:rPr>
      </w:pPr>
      <w:r>
        <w:rPr>
          <w:rFonts w:ascii="Aptos" w:hAnsi="Aptos"/>
          <w:b/>
          <w:noProof/>
          <w:sz w:val="24"/>
          <w:szCs w:val="24"/>
          <w:lang w:bidi="mr-IN"/>
        </w:rPr>
        <w:drawing>
          <wp:inline distT="0" distB="0" distL="0" distR="0" wp14:anchorId="33B5CC08" wp14:editId="60611D81">
            <wp:extent cx="1224280" cy="93853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srcRect/>
                    <a:stretch>
                      <a:fillRect/>
                    </a:stretch>
                  </pic:blipFill>
                  <pic:spPr bwMode="auto">
                    <a:xfrm>
                      <a:off x="0" y="0"/>
                      <a:ext cx="1224280" cy="938530"/>
                    </a:xfrm>
                    <a:prstGeom prst="rect">
                      <a:avLst/>
                    </a:prstGeom>
                    <a:noFill/>
                    <a:ln w="9525">
                      <a:noFill/>
                      <a:miter lim="800000"/>
                      <a:headEnd/>
                      <a:tailEnd/>
                    </a:ln>
                  </pic:spPr>
                </pic:pic>
              </a:graphicData>
            </a:graphic>
          </wp:inline>
        </w:drawing>
      </w:r>
    </w:p>
    <w:p w14:paraId="1B22D190" w14:textId="58A86E59" w:rsidR="00B86817" w:rsidRPr="00B07E41" w:rsidRDefault="00B07E41">
      <w:pPr>
        <w:pStyle w:val="BodyText"/>
        <w:ind w:right="273"/>
        <w:jc w:val="center"/>
        <w:rPr>
          <w:rFonts w:ascii="Aptos" w:hAnsi="Aptos"/>
          <w:b/>
          <w:bCs/>
          <w:sz w:val="32"/>
          <w:szCs w:val="32"/>
        </w:rPr>
      </w:pPr>
      <w:r>
        <w:rPr>
          <w:rFonts w:ascii="Aptos" w:hAnsi="Aptos"/>
          <w:b/>
          <w:bCs/>
          <w:sz w:val="32"/>
          <w:szCs w:val="32"/>
        </w:rPr>
        <w:t xml:space="preserve">    Department of Information Technology</w:t>
      </w:r>
    </w:p>
    <w:p w14:paraId="21CE4AD2" w14:textId="62FAA725" w:rsidR="00B86817" w:rsidRPr="00B07E41" w:rsidRDefault="00D03D16">
      <w:pPr>
        <w:spacing w:before="20" w:after="2"/>
        <w:ind w:left="259" w:right="273"/>
        <w:jc w:val="center"/>
        <w:rPr>
          <w:rFonts w:ascii="Aptos" w:hAnsi="Aptos"/>
          <w:b/>
          <w:color w:val="6F2F9F"/>
          <w:sz w:val="24"/>
          <w:szCs w:val="24"/>
        </w:rPr>
      </w:pPr>
      <w:r>
        <w:rPr>
          <w:rFonts w:ascii="Aptos" w:hAnsi="Aptos"/>
          <w:b/>
          <w:color w:val="6F2F9F"/>
          <w:sz w:val="24"/>
          <w:szCs w:val="24"/>
        </w:rPr>
        <w:t>A8520-</w:t>
      </w:r>
      <w:r>
        <w:rPr>
          <w:rFonts w:ascii="Aptos" w:hAnsi="Aptos"/>
          <w:b/>
          <w:sz w:val="24"/>
          <w:szCs w:val="24"/>
          <w:lang w:val="en-IN"/>
        </w:rPr>
        <w:t xml:space="preserve"> </w:t>
      </w:r>
      <w:r>
        <w:rPr>
          <w:rFonts w:ascii="Aptos" w:hAnsi="Aptos"/>
          <w:b/>
          <w:color w:val="6F2F9F"/>
          <w:sz w:val="24"/>
          <w:szCs w:val="24"/>
        </w:rPr>
        <w:t>SOFTWARE ENGINEERING</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3688"/>
        <w:gridCol w:w="2013"/>
        <w:gridCol w:w="2830"/>
      </w:tblGrid>
      <w:tr w:rsidR="00B07E41" w:rsidRPr="00B07E41" w14:paraId="6C367ACD" w14:textId="77777777" w:rsidTr="00B07E41">
        <w:trPr>
          <w:trHeight w:val="251"/>
        </w:trPr>
        <w:tc>
          <w:tcPr>
            <w:tcW w:w="2264" w:type="dxa"/>
            <w:vMerge w:val="restart"/>
          </w:tcPr>
          <w:p w14:paraId="499F85AA" w14:textId="77777777" w:rsidR="00B07E41" w:rsidRDefault="00B07E41" w:rsidP="00B07E41">
            <w:pPr>
              <w:pStyle w:val="TableParagraph"/>
              <w:spacing w:line="232" w:lineRule="exact"/>
              <w:ind w:right="95"/>
              <w:rPr>
                <w:rFonts w:ascii="Aptos" w:hAnsi="Aptos"/>
                <w:b/>
                <w:spacing w:val="-2"/>
              </w:rPr>
            </w:pPr>
            <w:r>
              <w:rPr>
                <w:rFonts w:ascii="Aptos" w:hAnsi="Aptos"/>
                <w:b/>
              </w:rPr>
              <w:t>Name of the</w:t>
            </w:r>
            <w:r>
              <w:rPr>
                <w:rFonts w:ascii="Aptos" w:hAnsi="Aptos"/>
                <w:b/>
                <w:spacing w:val="-2"/>
              </w:rPr>
              <w:t xml:space="preserve"> Student:</w:t>
            </w:r>
          </w:p>
          <w:p w14:paraId="7A108E97" w14:textId="6244FFCA" w:rsidR="00B07E41" w:rsidRPr="00B07E41" w:rsidRDefault="00B07E41" w:rsidP="00B07E41">
            <w:pPr>
              <w:pStyle w:val="TableParagraph"/>
              <w:spacing w:line="232" w:lineRule="exact"/>
              <w:ind w:right="95"/>
              <w:rPr>
                <w:rFonts w:ascii="Aptos" w:hAnsi="Aptos"/>
                <w:b/>
              </w:rPr>
            </w:pPr>
            <w:r>
              <w:rPr>
                <w:rFonts w:ascii="Aptos" w:hAnsi="Aptos"/>
                <w:b/>
                <w:spacing w:val="-2"/>
              </w:rPr>
              <w:t>Batch No:</w:t>
            </w:r>
          </w:p>
          <w:p w14:paraId="02191509" w14:textId="1B9FE34A" w:rsidR="00B07E41" w:rsidRPr="00B07E41" w:rsidRDefault="00B07E41" w:rsidP="00B07E41">
            <w:pPr>
              <w:pStyle w:val="TableParagraph"/>
              <w:spacing w:before="1" w:line="233" w:lineRule="exact"/>
              <w:ind w:right="97"/>
              <w:rPr>
                <w:rFonts w:ascii="Aptos" w:hAnsi="Aptos"/>
                <w:b/>
              </w:rPr>
            </w:pPr>
            <w:r>
              <w:rPr>
                <w:rFonts w:ascii="Aptos" w:hAnsi="Aptos"/>
                <w:b/>
              </w:rPr>
              <w:t xml:space="preserve">ROLL </w:t>
            </w:r>
            <w:r>
              <w:rPr>
                <w:rFonts w:ascii="Aptos" w:hAnsi="Aptos"/>
                <w:b/>
                <w:spacing w:val="-5"/>
              </w:rPr>
              <w:t>NO:</w:t>
            </w:r>
          </w:p>
        </w:tc>
        <w:tc>
          <w:tcPr>
            <w:tcW w:w="3688" w:type="dxa"/>
            <w:vMerge w:val="restart"/>
          </w:tcPr>
          <w:p w14:paraId="38E054D0" w14:textId="77777777" w:rsidR="00B07E41" w:rsidRPr="00B07E41" w:rsidRDefault="00B07E41">
            <w:pPr>
              <w:pStyle w:val="TableParagraph"/>
              <w:rPr>
                <w:rFonts w:ascii="Aptos" w:hAnsi="Aptos"/>
                <w:sz w:val="18"/>
              </w:rPr>
            </w:pPr>
            <w:r>
              <w:rPr>
                <w:rFonts w:ascii="Aptos" w:hAnsi="Aptos"/>
                <w:sz w:val="18"/>
              </w:rPr>
              <w:t>Cherish Yepuru</w:t>
            </w:r>
          </w:p>
          <w:p w14:paraId="5ABA4F86" w14:textId="77777777" w:rsidR="00B07E41" w:rsidRPr="00B07E41" w:rsidRDefault="00B07E41">
            <w:pPr>
              <w:pStyle w:val="TableParagraph"/>
              <w:rPr>
                <w:rFonts w:ascii="Aptos" w:hAnsi="Aptos"/>
                <w:sz w:val="18"/>
              </w:rPr>
            </w:pPr>
            <w:r>
              <w:rPr>
                <w:rFonts w:ascii="Aptos" w:hAnsi="Aptos"/>
                <w:sz w:val="18"/>
              </w:rPr>
              <w:t>Pavani Rangineni</w:t>
            </w:r>
          </w:p>
          <w:p w14:paraId="15FD1AD9" w14:textId="77777777" w:rsidR="00B07E41" w:rsidRPr="00B07E41" w:rsidRDefault="00B07E41">
            <w:pPr>
              <w:pStyle w:val="TableParagraph"/>
              <w:rPr>
                <w:rFonts w:ascii="Aptos" w:hAnsi="Aptos"/>
                <w:sz w:val="18"/>
              </w:rPr>
            </w:pPr>
            <w:r>
              <w:rPr>
                <w:rFonts w:ascii="Aptos" w:hAnsi="Aptos"/>
                <w:sz w:val="18"/>
              </w:rPr>
              <w:t>Varun Sandesh</w:t>
            </w:r>
          </w:p>
          <w:p w14:paraId="7251E4DE" w14:textId="77777777" w:rsidR="00B07E41" w:rsidRPr="00B07E41" w:rsidRDefault="00B07E41">
            <w:pPr>
              <w:pStyle w:val="TableParagraph"/>
              <w:rPr>
                <w:rFonts w:ascii="Aptos" w:hAnsi="Aptos"/>
                <w:sz w:val="18"/>
              </w:rPr>
            </w:pPr>
            <w:r>
              <w:rPr>
                <w:rFonts w:ascii="Aptos" w:hAnsi="Aptos"/>
                <w:sz w:val="18"/>
              </w:rPr>
              <w:t>6</w:t>
            </w:r>
          </w:p>
          <w:p w14:paraId="2A24D26E" w14:textId="77777777" w:rsidR="00B07E41" w:rsidRPr="00B07E41" w:rsidRDefault="00B07E41">
            <w:pPr>
              <w:pStyle w:val="TableParagraph"/>
              <w:rPr>
                <w:rFonts w:ascii="Aptos" w:hAnsi="Aptos"/>
                <w:sz w:val="18"/>
              </w:rPr>
            </w:pPr>
            <w:r>
              <w:rPr>
                <w:rFonts w:ascii="Aptos" w:hAnsi="Aptos"/>
                <w:sz w:val="18"/>
              </w:rPr>
              <w:t>24881A1264, 24881A1253, 24881A1229</w:t>
            </w:r>
          </w:p>
          <w:p w14:paraId="1748BD55" w14:textId="77777777" w:rsidR="00B07E41" w:rsidRPr="00B07E41" w:rsidRDefault="00B07E41">
            <w:pPr>
              <w:pStyle w:val="TableParagraph"/>
              <w:rPr>
                <w:rFonts w:ascii="Aptos" w:hAnsi="Aptos"/>
                <w:sz w:val="18"/>
              </w:rPr>
            </w:pPr>
          </w:p>
        </w:tc>
        <w:tc>
          <w:tcPr>
            <w:tcW w:w="2013" w:type="dxa"/>
          </w:tcPr>
          <w:p w14:paraId="5C942F29" w14:textId="32AA59D2" w:rsidR="00B07E41" w:rsidRPr="00B07E41" w:rsidRDefault="00B07E41" w:rsidP="00B07E41">
            <w:pPr>
              <w:pStyle w:val="TableParagraph"/>
              <w:spacing w:line="232" w:lineRule="exact"/>
              <w:ind w:right="96"/>
              <w:rPr>
                <w:rFonts w:ascii="Aptos" w:hAnsi="Aptos"/>
                <w:b/>
              </w:rPr>
            </w:pPr>
            <w:r>
              <w:rPr>
                <w:rFonts w:ascii="Aptos" w:hAnsi="Aptos"/>
                <w:b/>
              </w:rPr>
              <w:t>Project Title</w:t>
            </w:r>
            <w:r>
              <w:rPr>
                <w:rFonts w:ascii="Aptos" w:hAnsi="Aptos"/>
                <w:b/>
                <w:spacing w:val="-4"/>
              </w:rPr>
              <w:t>:</w:t>
            </w:r>
          </w:p>
        </w:tc>
        <w:tc>
          <w:tcPr>
            <w:tcW w:w="2830" w:type="dxa"/>
          </w:tcPr>
          <w:p w14:paraId="41730385" w14:textId="77777777" w:rsidR="00B07E41" w:rsidRPr="00B07E41" w:rsidRDefault="00B07E41">
            <w:pPr>
              <w:pStyle w:val="TableParagraph"/>
              <w:rPr>
                <w:rFonts w:ascii="Aptos" w:hAnsi="Aptos"/>
                <w:sz w:val="18"/>
              </w:rPr>
            </w:pPr>
            <w:r>
              <w:rPr>
                <w:rFonts w:ascii="Aptos" w:hAnsi="Aptos"/>
                <w:sz w:val="18"/>
              </w:rPr>
              <w:t>Online Student Management System</w:t>
            </w:r>
          </w:p>
          <w:p w14:paraId="3A5F00BB" w14:textId="77777777" w:rsidR="00B07E41" w:rsidRPr="00B07E41" w:rsidRDefault="00B07E41">
            <w:pPr>
              <w:pStyle w:val="TableParagraph"/>
              <w:rPr>
                <w:rFonts w:ascii="Aptos" w:hAnsi="Aptos"/>
                <w:sz w:val="18"/>
              </w:rPr>
            </w:pPr>
          </w:p>
          <w:p w14:paraId="7E3F286E" w14:textId="77777777" w:rsidR="00B07E41" w:rsidRPr="00B07E41" w:rsidRDefault="00B07E41">
            <w:pPr>
              <w:pStyle w:val="TableParagraph"/>
              <w:rPr>
                <w:rFonts w:ascii="Aptos" w:hAnsi="Aptos"/>
                <w:sz w:val="18"/>
              </w:rPr>
            </w:pPr>
          </w:p>
          <w:p w14:paraId="3BE21B1A" w14:textId="77777777" w:rsidR="00B07E41" w:rsidRPr="00B07E41" w:rsidRDefault="00B07E41">
            <w:pPr>
              <w:pStyle w:val="TableParagraph"/>
              <w:rPr>
                <w:rFonts w:ascii="Aptos" w:hAnsi="Aptos"/>
                <w:sz w:val="18"/>
              </w:rPr>
            </w:pPr>
          </w:p>
        </w:tc>
      </w:tr>
      <w:tr w:rsidR="00B07E41" w:rsidRPr="00B07E41" w14:paraId="5B6F3394" w14:textId="77777777" w:rsidTr="00B07E41">
        <w:trPr>
          <w:trHeight w:val="254"/>
        </w:trPr>
        <w:tc>
          <w:tcPr>
            <w:tcW w:w="2264" w:type="dxa"/>
            <w:vMerge/>
          </w:tcPr>
          <w:p w14:paraId="0111F9D2" w14:textId="454A2CA5" w:rsidR="00B07E41" w:rsidRPr="00B07E41" w:rsidRDefault="00B07E41" w:rsidP="00B07E41">
            <w:pPr>
              <w:pStyle w:val="TableParagraph"/>
              <w:spacing w:before="1" w:line="233" w:lineRule="exact"/>
              <w:ind w:right="97"/>
              <w:rPr>
                <w:rFonts w:ascii="Aptos" w:hAnsi="Aptos"/>
                <w:b/>
              </w:rPr>
            </w:pPr>
          </w:p>
        </w:tc>
        <w:tc>
          <w:tcPr>
            <w:tcW w:w="3688" w:type="dxa"/>
            <w:vMerge/>
          </w:tcPr>
          <w:p w14:paraId="29A99DC5" w14:textId="77777777" w:rsidR="00B07E41" w:rsidRPr="00B07E41" w:rsidRDefault="00B07E41">
            <w:pPr>
              <w:pStyle w:val="TableParagraph"/>
              <w:rPr>
                <w:rFonts w:ascii="Aptos" w:hAnsi="Aptos"/>
                <w:sz w:val="18"/>
              </w:rPr>
            </w:pPr>
          </w:p>
        </w:tc>
        <w:tc>
          <w:tcPr>
            <w:tcW w:w="2013" w:type="dxa"/>
          </w:tcPr>
          <w:p w14:paraId="6B16560C" w14:textId="22FBE31B" w:rsidR="00B07E41" w:rsidRPr="00B07E41" w:rsidRDefault="00B07E41" w:rsidP="00B07E41">
            <w:pPr>
              <w:pStyle w:val="TableParagraph"/>
              <w:spacing w:before="1" w:line="233" w:lineRule="exact"/>
              <w:ind w:right="96"/>
              <w:rPr>
                <w:rFonts w:ascii="Aptos" w:hAnsi="Aptos"/>
                <w:b/>
              </w:rPr>
            </w:pPr>
            <w:r>
              <w:rPr>
                <w:rFonts w:ascii="Aptos" w:hAnsi="Aptos"/>
                <w:b/>
              </w:rPr>
              <w:t>Activity</w:t>
            </w:r>
            <w:r>
              <w:rPr>
                <w:rFonts w:ascii="Aptos" w:hAnsi="Aptos"/>
                <w:b/>
                <w:spacing w:val="-2"/>
              </w:rPr>
              <w:t>:</w:t>
            </w:r>
          </w:p>
        </w:tc>
        <w:tc>
          <w:tcPr>
            <w:tcW w:w="2830" w:type="dxa"/>
          </w:tcPr>
          <w:p w14:paraId="52EFFAA3" w14:textId="77777777" w:rsidR="00B07E41" w:rsidRPr="00B07E41" w:rsidRDefault="00B07E41">
            <w:pPr>
              <w:pStyle w:val="TableParagraph"/>
              <w:rPr>
                <w:rFonts w:ascii="Aptos" w:hAnsi="Aptos"/>
                <w:sz w:val="18"/>
              </w:rPr>
            </w:pPr>
            <w:r>
              <w:rPr>
                <w:rFonts w:ascii="Aptos" w:hAnsi="Aptos"/>
                <w:sz w:val="18"/>
              </w:rPr>
              <w:t>SRS Documentation</w:t>
            </w:r>
          </w:p>
        </w:tc>
      </w:tr>
      <w:tr w:rsidR="00B86817" w:rsidRPr="00B07E41" w14:paraId="4C88F3D8" w14:textId="77777777" w:rsidTr="00B07E41">
        <w:trPr>
          <w:trHeight w:val="253"/>
        </w:trPr>
        <w:tc>
          <w:tcPr>
            <w:tcW w:w="2264" w:type="dxa"/>
          </w:tcPr>
          <w:p w14:paraId="541A91FA" w14:textId="77777777" w:rsidR="00B86817" w:rsidRPr="00B07E41" w:rsidRDefault="00D03D16" w:rsidP="00B07E41">
            <w:pPr>
              <w:pStyle w:val="TableParagraph"/>
              <w:spacing w:line="234" w:lineRule="exact"/>
              <w:ind w:right="95"/>
              <w:rPr>
                <w:rFonts w:ascii="Aptos" w:hAnsi="Aptos"/>
                <w:b/>
              </w:rPr>
            </w:pPr>
            <w:r>
              <w:rPr>
                <w:rFonts w:ascii="Aptos" w:hAnsi="Aptos"/>
                <w:b/>
                <w:spacing w:val="-2"/>
              </w:rPr>
              <w:t>Year-</w:t>
            </w:r>
            <w:r>
              <w:rPr>
                <w:rFonts w:ascii="Aptos" w:hAnsi="Aptos"/>
                <w:b/>
                <w:spacing w:val="-4"/>
              </w:rPr>
              <w:t>Sem:</w:t>
            </w:r>
          </w:p>
        </w:tc>
        <w:tc>
          <w:tcPr>
            <w:tcW w:w="3688" w:type="dxa"/>
          </w:tcPr>
          <w:p w14:paraId="1A5EFC2A" w14:textId="77777777" w:rsidR="00B86817" w:rsidRPr="00B07E41" w:rsidRDefault="00B86817">
            <w:pPr>
              <w:pStyle w:val="TableParagraph"/>
              <w:rPr>
                <w:rFonts w:ascii="Aptos" w:hAnsi="Aptos"/>
                <w:sz w:val="18"/>
              </w:rPr>
            </w:pPr>
            <w:r>
              <w:rPr>
                <w:rFonts w:ascii="Aptos" w:hAnsi="Aptos"/>
                <w:sz w:val="18"/>
              </w:rPr>
              <w:t>3rd - 1st</w:t>
            </w:r>
          </w:p>
        </w:tc>
        <w:tc>
          <w:tcPr>
            <w:tcW w:w="2013" w:type="dxa"/>
          </w:tcPr>
          <w:p w14:paraId="48FC90A7" w14:textId="77777777" w:rsidR="00B86817" w:rsidRPr="00B07E41" w:rsidRDefault="00D03D16" w:rsidP="00B07E41">
            <w:pPr>
              <w:pStyle w:val="TableParagraph"/>
              <w:spacing w:line="234" w:lineRule="exact"/>
              <w:ind w:right="96"/>
              <w:rPr>
                <w:rFonts w:ascii="Aptos" w:hAnsi="Aptos"/>
                <w:b/>
              </w:rPr>
            </w:pPr>
            <w:r>
              <w:rPr>
                <w:rFonts w:ascii="Aptos" w:hAnsi="Aptos"/>
                <w:b/>
                <w:spacing w:val="-2"/>
              </w:rPr>
              <w:t>Date:</w:t>
            </w:r>
          </w:p>
        </w:tc>
        <w:tc>
          <w:tcPr>
            <w:tcW w:w="2830" w:type="dxa"/>
          </w:tcPr>
          <w:p w14:paraId="1C4635C1" w14:textId="77777777" w:rsidR="00B86817" w:rsidRPr="00B07E41" w:rsidRDefault="00B86817">
            <w:pPr>
              <w:pStyle w:val="TableParagraph"/>
              <w:rPr>
                <w:rFonts w:ascii="Aptos" w:hAnsi="Aptos"/>
                <w:sz w:val="18"/>
              </w:rPr>
            </w:pPr>
            <w:r>
              <w:rPr>
                <w:rFonts w:ascii="Aptos" w:hAnsi="Aptos"/>
                <w:sz w:val="18"/>
              </w:rPr>
              <w:t>1-7-26</w:t>
            </w:r>
          </w:p>
        </w:tc>
      </w:tr>
      <w:tr w:rsidR="00B86817" w:rsidRPr="00B07E41" w14:paraId="694DEFC0" w14:textId="77777777" w:rsidTr="00B07E41">
        <w:trPr>
          <w:trHeight w:val="251"/>
        </w:trPr>
        <w:tc>
          <w:tcPr>
            <w:tcW w:w="2264" w:type="dxa"/>
          </w:tcPr>
          <w:p w14:paraId="3CFF914B" w14:textId="77777777" w:rsidR="00B86817" w:rsidRPr="00B07E41" w:rsidRDefault="00D03D16" w:rsidP="00B07E41">
            <w:pPr>
              <w:pStyle w:val="TableParagraph"/>
              <w:spacing w:line="232" w:lineRule="exact"/>
              <w:ind w:right="94"/>
              <w:rPr>
                <w:rFonts w:ascii="Aptos" w:hAnsi="Aptos"/>
                <w:b/>
              </w:rPr>
            </w:pPr>
            <w:r>
              <w:rPr>
                <w:rFonts w:ascii="Aptos" w:hAnsi="Aptos"/>
                <w:b/>
                <w:spacing w:val="-2"/>
              </w:rPr>
              <w:t>Branch-Section:</w:t>
            </w:r>
          </w:p>
        </w:tc>
        <w:tc>
          <w:tcPr>
            <w:tcW w:w="3688" w:type="dxa"/>
          </w:tcPr>
          <w:p w14:paraId="3375AC55" w14:textId="77777777" w:rsidR="00B86817" w:rsidRPr="00B07E41" w:rsidRDefault="00B86817">
            <w:pPr>
              <w:pStyle w:val="TableParagraph"/>
              <w:rPr>
                <w:rFonts w:ascii="Aptos" w:hAnsi="Aptos"/>
                <w:sz w:val="18"/>
              </w:rPr>
            </w:pPr>
            <w:r>
              <w:rPr>
                <w:rFonts w:ascii="Aptos" w:hAnsi="Aptos"/>
                <w:sz w:val="18"/>
              </w:rPr>
              <w:t>IT-A</w:t>
            </w:r>
          </w:p>
        </w:tc>
        <w:tc>
          <w:tcPr>
            <w:tcW w:w="2013" w:type="dxa"/>
          </w:tcPr>
          <w:p w14:paraId="44611AA9" w14:textId="77777777" w:rsidR="00B86817" w:rsidRPr="00B07E41" w:rsidRDefault="00D03D16" w:rsidP="00B07E41">
            <w:pPr>
              <w:pStyle w:val="TableParagraph"/>
              <w:spacing w:line="232" w:lineRule="exact"/>
              <w:ind w:right="97"/>
              <w:rPr>
                <w:rFonts w:ascii="Aptos" w:hAnsi="Aptos"/>
                <w:b/>
              </w:rPr>
            </w:pPr>
            <w:r>
              <w:rPr>
                <w:rFonts w:ascii="Aptos" w:hAnsi="Aptos"/>
                <w:b/>
              </w:rPr>
              <w:t>Course</w:t>
            </w:r>
            <w:r>
              <w:rPr>
                <w:rFonts w:ascii="Aptos" w:hAnsi="Aptos"/>
                <w:b/>
                <w:spacing w:val="-2"/>
              </w:rPr>
              <w:t xml:space="preserve"> Instructor:</w:t>
            </w:r>
          </w:p>
        </w:tc>
        <w:tc>
          <w:tcPr>
            <w:tcW w:w="2830" w:type="dxa"/>
          </w:tcPr>
          <w:p w14:paraId="5C48A0CE" w14:textId="77777777" w:rsidR="00B86817" w:rsidRPr="00B07E41" w:rsidRDefault="00B86817">
            <w:pPr>
              <w:pStyle w:val="TableParagraph"/>
              <w:rPr>
                <w:rFonts w:ascii="Aptos" w:hAnsi="Aptos"/>
                <w:sz w:val="18"/>
              </w:rPr>
            </w:pPr>
            <w:r>
              <w:rPr>
                <w:rFonts w:ascii="Aptos" w:hAnsi="Aptos"/>
                <w:sz w:val="18"/>
              </w:rPr>
              <w:t>Ravi Kumar</w:t>
            </w:r>
          </w:p>
        </w:tc>
      </w:tr>
    </w:tbl>
    <w:p w14:paraId="6DF38EAF" w14:textId="7B876D8D" w:rsidR="00B86817" w:rsidRPr="00B07E41" w:rsidRDefault="00D5108C">
      <w:pPr>
        <w:pStyle w:val="BodyText"/>
        <w:spacing w:before="191"/>
        <w:rPr>
          <w:rFonts w:ascii="Aptos" w:hAnsi="Aptos"/>
          <w:b/>
          <w:sz w:val="20"/>
        </w:rPr>
      </w:pPr>
      <w:r>
        <w:rPr>
          <w:rFonts w:ascii="Aptos" w:hAnsi="Aptos"/>
          <w:noProof/>
        </w:rPr>
        <mc:AlternateContent>
          <mc:Choice Requires="wps">
            <w:drawing>
              <wp:anchor distT="0" distB="0" distL="0" distR="0" simplePos="0" relativeHeight="251657728" behindDoc="1" locked="0" layoutInCell="1" allowOverlap="1" wp14:anchorId="08B5CC76" wp14:editId="227848A4">
                <wp:simplePos x="0" y="0"/>
                <wp:positionH relativeFrom="page">
                  <wp:posOffset>444500</wp:posOffset>
                </wp:positionH>
                <wp:positionV relativeFrom="paragraph">
                  <wp:posOffset>104775</wp:posOffset>
                </wp:positionV>
                <wp:extent cx="6870700" cy="0"/>
                <wp:effectExtent l="0" t="0" r="0" b="0"/>
                <wp:wrapTopAndBottom/>
                <wp:docPr id="2882494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0700" cy="0"/>
                        </a:xfrm>
                        <a:prstGeom prst="line">
                          <a:avLst/>
                        </a:prstGeom>
                        <a:noFill/>
                        <a:ln w="28575">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5FED65" id="Line 2"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5pt,8.25pt" to="8in,8.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KG/svAEAAGQDAAAOAAAAZHJzL2Uyb0RvYy54bWysU01v2zAMvQ/YfxB0X+wEaBMYcXpI1l7a LkC7H8BIsi1MFgVRie1/X0n5WLHdhvlAiCL5xPdIrx/G3rCT8qTR1nw+KzlTVqDUtq35z/fHbyvO KICVYNCqmk+K+MPm65f14Cq1wA6NVJ5FEEvV4GreheCqoiDRqR5ohk7ZGGzQ9xCi69tCehgiem+K RVneFwN66TwKRRRvd+cg32T8plEi/GgaUoGZmsfeQrY+20OyxWYNVevBdVpc2oB/6KIHbeOjN6gd BGBHr/+C6rXwSNiEmcC+wKbRQmUOkc28/IPNWwdOZS5RHHI3mej/wYrX09bufWpdjPbNPaP4Rczi tgPbqtzA++Ti4OZJqmJwVN1KkkNu79lheEEZc+AYMKswNr5PkJEfG7PY001sNQYm4uX9alkuyzgT cY0VUF0LnafwpLBn6VBzo23SASo4PVNIjUB1TUnXFh+1MXmWxrKh5ovV3fIuVxAaLVM05ZFvD1vj 2QnSOuQv04qRz2kJegfUnfNoouScV8Xj0cr8UKdAfr+cA2hzPsfGjL0IlbRJi0jVAeW091cB4ygz g8vapV357Ofq3z/H5gMAAP//AwBQSwMEFAAGAAgAAAAhAGEjsqLcAAAACQEAAA8AAABkcnMvZG93 bnJldi54bWxMj8FOwzAQRO9I/IO1SNyo00oNEOJUqAiEEJcWVK5OvE0i7HWwnTb8PVtxgOO+Gc3O lKvJWXHAEHtPCuazDARS401PrYL3t8erGxAxaTLaekIF3xhhVZ2flbow/kgbPGxTKziEYqEVdCkN hZSx6dDpOPMDEmt7H5xOfIZWmqCPHO6sXGRZLp3uiT90esB1h83ndnQK6jDa+PGF0u0e8pfX9fNu fzs8KXV5Md3fgUg4pT8znOpzdai4U+1HMlFYBdcZT0nM8yWIkz5fLpjUv0RWpfy/oPoBAAD//wMA UEsBAi0AFAAGAAgAAAAhALaDOJL+AAAA4QEAABMAAAAAAAAAAAAAAAAAAAAAAFtDb250ZW50X1R5 cGVzXS54bWxQSwECLQAUAAYACAAAACEAOP0h/9YAAACUAQAACwAAAAAAAAAAAAAAAAAvAQAAX3Jl bHMvLnJlbHNQSwECLQAUAAYACAAAACEAmChv7LwBAABkAwAADgAAAAAAAAAAAAAAAAAuAgAAZHJz L2Uyb0RvYy54bWxQSwECLQAUAAYACAAAACEAYSOyotwAAAAJAQAADwAAAAAAAAAAAAAAAAAWBAAA ZHJzL2Rvd25yZXYueG1sUEsFBgAAAAAEAAQA8wAAAB8FAAAAAA== " strokeweight="2.25pt">
                <v:stroke dashstyle="3 1"/>
                <w10:wrap type="topAndBottom" anchorx="page"/>
              </v:line>
            </w:pict>
          </mc:Fallback>
        </mc:AlternateContent>
      </w:r>
    </w:p>
    <w:p>
      <w:pPr>
        <w:spacing w:after="20" w:before="60"/>
        <w:jc w:val="center"/>
      </w:pPr>
      <w:r>
        <w:rPr>
          <w:rFonts w:ascii="Calibri" w:cs="Calibri" w:eastAsia="Calibri" w:hAnsi="Calibri"/>
          <w:b/>
          <w:bCs/>
          <w:color w:val="1B2A4A"/>
          <w:sz w:val="32"/>
          <w:szCs w:val="32"/>
        </w:rPr>
        <w:t xml:space="preserve">SOFTWARE REQUIREMENTS SPECIFICATION</w:t>
      </w:r>
    </w:p>
    <w:p>
      <w:pPr>
        <w:pBdr>
          <w:bottom w:val="single" w:color="C9A227" w:sz="12" w:space="4"/>
        </w:pBdr>
        <w:spacing w:after="80"/>
        <w:ind w:left="150" w:right="150"/>
        <w:jc w:val="center"/>
      </w:pPr>
      <w:r>
        <w:rPr>
          <w:rFonts w:ascii="Calibri" w:cs="Calibri" w:eastAsia="Calibri" w:hAnsi="Calibri"/>
          <w:color w:val="5A6B7B"/>
          <w:sz w:val="19"/>
          <w:szCs w:val="19"/>
        </w:rPr>
        <w:t xml:space="preserve">Online Student Management System (OSMS)   |   Version 1.0   |   IEEE Std 830-1998 structure</w:t>
      </w:r>
    </w:p>
    <w:p>
      <w:pPr>
        <w:keepNext/>
        <w:pBdr>
          <w:bottom w:val="single" w:color="C9A227" w:sz="8" w:space="2"/>
        </w:pBdr>
        <w:spacing w:after="70" w:before="150"/>
        <w:ind w:left="150" w:right="150"/>
        <w:outlineLvl w:val="0"/>
      </w:pPr>
      <w:r>
        <w:rPr>
          <w:rFonts w:ascii="Calibri" w:cs="Calibri" w:eastAsia="Calibri" w:hAnsi="Calibri"/>
          <w:b/>
          <w:bCs/>
          <w:color w:val="1B2A4A"/>
          <w:sz w:val="26"/>
          <w:szCs w:val="26"/>
        </w:rPr>
        <w:t xml:space="preserve">1.  Introduction</w:t>
      </w:r>
    </w:p>
    <w:p>
      <w:pPr>
        <w:keepNext/>
        <w:spacing w:after="40" w:before="90"/>
        <w:ind w:left="150" w:right="150"/>
        <w:outlineLvl w:val="1"/>
      </w:pPr>
      <w:r>
        <w:rPr>
          <w:rFonts w:ascii="Calibri" w:cs="Calibri" w:eastAsia="Calibri" w:hAnsi="Calibri"/>
          <w:b/>
          <w:bCs/>
          <w:color w:val="2E5C8A"/>
          <w:sz w:val="20"/>
          <w:szCs w:val="20"/>
        </w:rPr>
        <w:t xml:space="preserve">1.1 Purpose</w:t>
      </w:r>
    </w:p>
    <w:p>
      <w:pPr>
        <w:keepLines/>
        <w:spacing w:after="70" w:before="0" w:line="250"/>
        <w:ind w:left="150" w:right="150"/>
        <w:jc w:val="left"/>
      </w:pPr>
      <w:r>
        <w:rPr>
          <w:rFonts w:ascii="Calibri" w:cs="Calibri" w:eastAsia="Calibri" w:hAnsi="Calibri"/>
          <w:b w:val="false"/>
          <w:bCs w:val="false"/>
          <w:color w:val="1E2430"/>
          <w:sz w:val="19"/>
          <w:szCs w:val="19"/>
        </w:rPr>
        <w:t xml:space="preserve">This document specifies the requirements of the </w:t>
      </w:r>
      <w:r>
        <w:rPr>
          <w:rFonts w:ascii="Calibri" w:cs="Calibri" w:eastAsia="Calibri" w:hAnsi="Calibri"/>
          <w:b/>
          <w:bCs/>
          <w:color w:val="1E2430"/>
          <w:sz w:val="19"/>
          <w:szCs w:val="19"/>
        </w:rPr>
        <w:t xml:space="preserve">Online Student Management System (OSMS)</w:t>
      </w:r>
      <w:r>
        <w:rPr>
          <w:rFonts w:ascii="Calibri" w:cs="Calibri" w:eastAsia="Calibri" w:hAnsi="Calibri"/>
          <w:b w:val="false"/>
          <w:bCs w:val="false"/>
          <w:color w:val="1E2430"/>
          <w:sz w:val="19"/>
          <w:szCs w:val="19"/>
        </w:rPr>
        <w:t xml:space="preserve">, a web platform that replaces paper registers and scattered spreadsheets with one secure system for student records, course enrollment, attendance, grading and fee payment. It is written for the course instructor, the project team and reviewers who will evaluate the design.</w:t>
      </w:r>
    </w:p>
    <w:p>
      <w:pPr>
        <w:keepNext/>
        <w:spacing w:after="40" w:before="90"/>
        <w:ind w:left="150" w:right="150"/>
        <w:outlineLvl w:val="1"/>
      </w:pPr>
      <w:r>
        <w:rPr>
          <w:rFonts w:ascii="Calibri" w:cs="Calibri" w:eastAsia="Calibri" w:hAnsi="Calibri"/>
          <w:b/>
          <w:bCs/>
          <w:color w:val="2E5C8A"/>
          <w:sz w:val="20"/>
          <w:szCs w:val="20"/>
        </w:rPr>
        <w:t xml:space="preserve">1.2 Scope</w:t>
      </w:r>
    </w:p>
    <w:p>
      <w:pPr>
        <w:keepLines/>
        <w:spacing w:after="50" w:before="0" w:line="250"/>
        <w:ind w:left="150" w:right="150"/>
        <w:jc w:val="left"/>
      </w:pPr>
      <w:r>
        <w:rPr>
          <w:rFonts w:ascii="Calibri" w:cs="Calibri" w:eastAsia="Calibri" w:hAnsi="Calibri"/>
          <w:b w:val="false"/>
          <w:bCs w:val="false"/>
          <w:color w:val="1E2430"/>
          <w:sz w:val="19"/>
          <w:szCs w:val="19"/>
        </w:rPr>
        <w:t xml:space="preserve">OSMS serves one institution with several departments and three user roles: </w:t>
      </w:r>
      <w:r>
        <w:rPr>
          <w:rFonts w:ascii="Calibri" w:cs="Calibri" w:eastAsia="Calibri" w:hAnsi="Calibri"/>
          <w:b/>
          <w:bCs/>
          <w:color w:val="1E2430"/>
          <w:sz w:val="19"/>
          <w:szCs w:val="19"/>
        </w:rPr>
        <w:t xml:space="preserve">Student, Faculty and Administrator</w:t>
      </w:r>
      <w:r>
        <w:rPr>
          <w:rFonts w:ascii="Calibri" w:cs="Calibri" w:eastAsia="Calibri" w:hAnsi="Calibri"/>
          <w:b w:val="false"/>
          <w:bCs w:val="false"/>
          <w:color w:val="1E2430"/>
          <w:sz w:val="19"/>
          <w:szCs w:val="19"/>
        </w:rPr>
        <w:t xml:space="preserve">. This SRS covers requirements and design views only; building the software is not part of this course project.</w:t>
      </w:r>
    </w:p>
    <w:tbl>
      <w:tblPr>
        <w:tblW w:type="dxa" w:w="10720"/>
        <w:tblInd w:type="dxa" w:w="150"/>
        <w:tblBorders>
          <w:top w:val="single" w:color="auto" w:sz="4"/>
          <w:left w:val="single" w:color="auto" w:sz="4"/>
          <w:bottom w:val="single" w:color="auto" w:sz="4"/>
          <w:right w:val="single" w:color="auto" w:sz="4"/>
          <w:insideH w:val="single" w:color="auto" w:sz="4"/>
          <w:insideV w:val="single" w:color="auto" w:sz="4"/>
        </w:tblBorders>
      </w:tblPr>
      <w:tblGrid>
        <w:gridCol w:w="5360"/>
        <w:gridCol w:w="5360"/>
      </w:tblGrid>
      <w:tr>
        <w:trPr>
          <w:cantSplit/>
          <w:tblHeader/>
        </w:trPr>
        <w:tc>
          <w:tcPr>
            <w:tcW w:type="dxa" w:w="5360"/>
            <w:tcBorders>
              <w:top w:val="single" w:color="C9D1DC" w:sz="4"/>
              <w:left w:val="single" w:color="C9D1DC" w:sz="4"/>
              <w:bottom w:val="single" w:color="C9D1DC" w:sz="4"/>
              <w:right w:val="single" w:color="C9D1DC" w:sz="4"/>
            </w:tcBorders>
            <w:shd w:fill="2E7D5C"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In scope</w:t>
            </w:r>
          </w:p>
        </w:tc>
        <w:tc>
          <w:tcPr>
            <w:tcW w:type="dxa" w:w="5360"/>
            <w:tcBorders>
              <w:top w:val="single" w:color="C9D1DC" w:sz="4"/>
              <w:left w:val="single" w:color="C9D1DC" w:sz="4"/>
              <w:bottom w:val="single" w:color="C9D1DC" w:sz="4"/>
              <w:right w:val="single" w:color="C9D1DC" w:sz="4"/>
            </w:tcBorders>
            <w:shd w:fill="A23B3B"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Out of scope</w:t>
            </w:r>
          </w:p>
        </w:tc>
      </w:tr>
      <w:tr>
        <w:trPr>
          <w:cantSplit/>
          <w:tblHeader w:val="false"/>
        </w:trPr>
        <w:tc>
          <w:tcPr>
            <w:tcW w:type="dxa" w:w="5360"/>
            <w:tcBorders>
              <w:top w:val="single" w:color="C9D1DC" w:sz="4"/>
              <w:left w:val="single" w:color="C9D1DC" w:sz="4"/>
              <w:bottom w:val="single" w:color="C9D1DC" w:sz="4"/>
              <w:right w:val="single" w:color="C9D1DC" w:sz="4"/>
            </w:tcBorders>
            <w:shd w:fill="E0F2E9" w:color="auto" w:val="clear"/>
            <w:tcMar>
              <w:top w:type="dxa" w:w="45"/>
              <w:left w:type="dxa" w:w="90"/>
              <w:bottom w:type="dxa" w:w="45"/>
              <w:right w:type="dxa" w:w="90"/>
            </w:tcMar>
            <w:vAlign w:val="center"/>
          </w:tcPr>
          <w:p>
            <w:pPr>
              <w:keepNext/>
              <w:keepLines/>
              <w:spacing w:after="30" w:line="240"/>
              <w:jc w:val="left"/>
            </w:pPr>
            <w:r>
              <w:rPr>
                <w:rFonts w:ascii="Calibri" w:cs="Calibri" w:eastAsia="Calibri" w:hAnsi="Calibri"/>
                <w:b w:val="false"/>
                <w:bCs w:val="false"/>
                <w:color w:val="1E2430"/>
                <w:sz w:val="17"/>
                <w:szCs w:val="17"/>
              </w:rPr>
              <w:t xml:space="preserve">Login and role-based access</w:t>
            </w:r>
          </w:p>
          <w:p>
            <w:pPr>
              <w:keepNext/>
              <w:keepLines/>
              <w:spacing w:after="30" w:line="240"/>
              <w:jc w:val="left"/>
            </w:pPr>
            <w:r>
              <w:rPr>
                <w:rFonts w:ascii="Calibri" w:cs="Calibri" w:eastAsia="Calibri" w:hAnsi="Calibri"/>
                <w:b w:val="false"/>
                <w:bCs w:val="false"/>
                <w:color w:val="1E2430"/>
                <w:sz w:val="17"/>
                <w:szCs w:val="17"/>
              </w:rPr>
              <w:t xml:space="preserve">Student and academic records</w:t>
            </w:r>
          </w:p>
          <w:p>
            <w:pPr>
              <w:keepNext/>
              <w:keepLines/>
              <w:spacing w:after="30" w:line="240"/>
              <w:jc w:val="left"/>
            </w:pPr>
            <w:r>
              <w:rPr>
                <w:rFonts w:ascii="Calibri" w:cs="Calibri" w:eastAsia="Calibri" w:hAnsi="Calibri"/>
                <w:b w:val="false"/>
                <w:bCs w:val="false"/>
                <w:color w:val="1E2430"/>
                <w:sz w:val="17"/>
                <w:szCs w:val="17"/>
              </w:rPr>
              <w:t xml:space="preserve">Course enrollment with waitlist</w:t>
            </w:r>
          </w:p>
          <w:p>
            <w:pPr>
              <w:keepNext/>
              <w:keepLines/>
              <w:spacing w:after="0" w:line="240"/>
              <w:jc w:val="left"/>
            </w:pPr>
            <w:r>
              <w:rPr>
                <w:rFonts w:ascii="Calibri" w:cs="Calibri" w:eastAsia="Calibri" w:hAnsi="Calibri"/>
                <w:b w:val="false"/>
                <w:bCs w:val="false"/>
                <w:color w:val="1E2430"/>
                <w:sz w:val="17"/>
                <w:szCs w:val="17"/>
              </w:rPr>
              <w:t xml:space="preserve">Attendance, grading and transcripts</w:t>
            </w:r>
          </w:p>
        </w:tc>
        <w:tc>
          <w:tcPr>
            <w:tcW w:type="dxa" w:w="5360"/>
            <w:tcBorders>
              <w:top w:val="single" w:color="C9D1DC" w:sz="4"/>
              <w:left w:val="single" w:color="C9D1DC" w:sz="4"/>
              <w:bottom w:val="single" w:color="C9D1DC" w:sz="4"/>
              <w:right w:val="single" w:color="C9D1DC" w:sz="4"/>
            </w:tcBorders>
            <w:shd w:fill="F8E1E1" w:color="auto" w:val="clear"/>
            <w:tcMar>
              <w:top w:type="dxa" w:w="45"/>
              <w:left w:type="dxa" w:w="90"/>
              <w:bottom w:type="dxa" w:w="45"/>
              <w:right w:type="dxa" w:w="90"/>
            </w:tcMar>
            <w:vAlign w:val="center"/>
          </w:tcPr>
          <w:p>
            <w:pPr>
              <w:keepNext/>
              <w:keepLines/>
              <w:spacing w:after="30" w:line="240"/>
              <w:jc w:val="left"/>
            </w:pPr>
            <w:r>
              <w:rPr>
                <w:rFonts w:ascii="Calibri" w:cs="Calibri" w:eastAsia="Calibri" w:hAnsi="Calibri"/>
                <w:b w:val="false"/>
                <w:bCs w:val="false"/>
                <w:color w:val="1E2430"/>
                <w:sz w:val="17"/>
                <w:szCs w:val="17"/>
              </w:rPr>
              <w:t xml:space="preserve">HR, payroll, library, hostel and transport</w:t>
            </w:r>
          </w:p>
          <w:p>
            <w:pPr>
              <w:keepNext/>
              <w:keepLines/>
              <w:spacing w:after="30" w:line="240"/>
              <w:jc w:val="left"/>
            </w:pPr>
            <w:r>
              <w:rPr>
                <w:rFonts w:ascii="Calibri" w:cs="Calibri" w:eastAsia="Calibri" w:hAnsi="Calibri"/>
                <w:b w:val="false"/>
                <w:bCs w:val="false"/>
                <w:color w:val="1E2430"/>
                <w:sz w:val="17"/>
                <w:szCs w:val="17"/>
              </w:rPr>
              <w:t xml:space="preserve">Alumni management</w:t>
            </w:r>
          </w:p>
          <w:p>
            <w:pPr>
              <w:keepNext/>
              <w:keepLines/>
              <w:spacing w:after="30" w:line="240"/>
              <w:jc w:val="left"/>
            </w:pPr>
            <w:r>
              <w:rPr>
                <w:rFonts w:ascii="Calibri" w:cs="Calibri" w:eastAsia="Calibri" w:hAnsi="Calibri"/>
                <w:b w:val="false"/>
                <w:bCs w:val="false"/>
                <w:color w:val="1E2430"/>
                <w:sz w:val="17"/>
                <w:szCs w:val="17"/>
              </w:rPr>
              <w:t xml:space="preserve">Multi-institution (SaaS) deployment</w:t>
            </w:r>
          </w:p>
          <w:p>
            <w:pPr>
              <w:keepNext/>
              <w:keepLines/>
              <w:spacing w:after="0" w:line="240"/>
              <w:jc w:val="left"/>
            </w:pPr>
            <w:r>
              <w:rPr>
                <w:rFonts w:ascii="Calibri" w:cs="Calibri" w:eastAsia="Calibri" w:hAnsi="Calibri"/>
                <w:b w:val="false"/>
                <w:bCs w:val="false"/>
                <w:color w:val="1E2430"/>
                <w:sz w:val="17"/>
                <w:szCs w:val="17"/>
              </w:rPr>
              <w:t xml:space="preserve">Native mobile apps (responsive web only)</w:t>
            </w:r>
          </w:p>
        </w:tc>
      </w:tr>
      <w:tr>
        <w:trPr>
          <w:cantSplit/>
          <w:tblHeader w:val="false"/>
        </w:trPr>
        <w:tc>
          <w:tcPr>
            <w:tcW w:type="dxa" w:w="5360"/>
            <w:tcBorders>
              <w:top w:val="single" w:color="C9D1DC" w:sz="4"/>
              <w:left w:val="single" w:color="C9D1DC" w:sz="4"/>
              <w:bottom w:val="single" w:color="C9D1DC" w:sz="4"/>
              <w:right w:val="single" w:color="C9D1DC" w:sz="4"/>
            </w:tcBorders>
            <w:shd w:fill="E0F2E9" w:color="auto" w:val="clear"/>
            <w:tcMar>
              <w:top w:type="dxa" w:w="45"/>
              <w:left w:type="dxa" w:w="90"/>
              <w:bottom w:type="dxa" w:w="45"/>
              <w:right w:type="dxa" w:w="90"/>
            </w:tcMar>
            <w:vAlign w:val="center"/>
          </w:tcPr>
          <w:p>
            <w:pPr>
              <w:keepNext w:val="false"/>
              <w:keepLines/>
              <w:spacing w:after="30" w:line="240"/>
              <w:jc w:val="left"/>
            </w:pPr>
            <w:r>
              <w:rPr>
                <w:rFonts w:ascii="Calibri" w:cs="Calibri" w:eastAsia="Calibri" w:hAnsi="Calibri"/>
                <w:b w:val="false"/>
                <w:bCs w:val="false"/>
                <w:color w:val="1E2430"/>
                <w:sz w:val="17"/>
                <w:szCs w:val="17"/>
              </w:rPr>
              <w:t xml:space="preserve">Fee payment and receipts</w:t>
            </w:r>
          </w:p>
          <w:p>
            <w:pPr>
              <w:keepNext w:val="false"/>
              <w:keepLines/>
              <w:spacing w:after="0" w:line="240"/>
              <w:jc w:val="left"/>
            </w:pPr>
            <w:r>
              <w:rPr>
                <w:rFonts w:ascii="Calibri" w:cs="Calibri" w:eastAsia="Calibri" w:hAnsi="Calibri"/>
                <w:b w:val="false"/>
                <w:bCs w:val="false"/>
                <w:color w:val="1E2430"/>
                <w:sz w:val="17"/>
                <w:szCs w:val="17"/>
              </w:rPr>
              <w:t xml:space="preserve">Email / SMS notifications and timetable updates</w:t>
            </w:r>
          </w:p>
        </w:tc>
        <w:tc>
          <w:tcPr>
            <w:tcW w:type="dxa" w:w="5360"/>
            <w:tcBorders>
              <w:top w:val="single" w:color="C9D1DC" w:sz="4"/>
              <w:left w:val="single" w:color="C9D1DC" w:sz="4"/>
              <w:bottom w:val="single" w:color="C9D1DC" w:sz="4"/>
              <w:right w:val="single" w:color="C9D1DC" w:sz="4"/>
            </w:tcBorders>
            <w:shd w:fill="F8E1E1"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Biometric or hardware-based attendance</w:t>
            </w:r>
          </w:p>
        </w:tc>
      </w:tr>
    </w:tbl>
    <w:p>
      <w:pPr>
        <w:keepNext/>
        <w:spacing w:after="40" w:before="90"/>
        <w:ind w:left="150" w:right="150"/>
        <w:outlineLvl w:val="1"/>
      </w:pPr>
      <w:r>
        <w:rPr>
          <w:rFonts w:ascii="Calibri" w:cs="Calibri" w:eastAsia="Calibri" w:hAnsi="Calibri"/>
          <w:b/>
          <w:bCs/>
          <w:color w:val="2E5C8A"/>
          <w:sz w:val="20"/>
          <w:szCs w:val="20"/>
        </w:rPr>
        <w:t xml:space="preserve">1.3 Definitions and Abbreviations</w:t>
      </w:r>
    </w:p>
    <w:tbl>
      <w:tblPr>
        <w:tblW w:type="dxa" w:w="10720"/>
        <w:tblInd w:type="dxa" w:w="150"/>
        <w:tblBorders>
          <w:top w:val="single" w:color="auto" w:sz="4"/>
          <w:left w:val="single" w:color="auto" w:sz="4"/>
          <w:bottom w:val="single" w:color="auto" w:sz="4"/>
          <w:right w:val="single" w:color="auto" w:sz="4"/>
          <w:insideH w:val="single" w:color="auto" w:sz="4"/>
          <w:insideV w:val="single" w:color="auto" w:sz="4"/>
        </w:tblBorders>
      </w:tblPr>
      <w:tblGrid>
        <w:gridCol w:w="1286"/>
        <w:gridCol w:w="4074"/>
        <w:gridCol w:w="1501"/>
        <w:gridCol w:w="3859"/>
      </w:tblGrid>
      <w:tr>
        <w:trPr>
          <w:cantSplit/>
          <w:tblHeader w:val="false"/>
        </w:trPr>
        <w:tc>
          <w:tcPr>
            <w:tcW w:type="dxa" w:w="1286"/>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SRS</w:t>
            </w:r>
          </w:p>
        </w:tc>
        <w:tc>
          <w:tcPr>
            <w:tcW w:type="dxa" w:w="4074"/>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Software Requirements Specification</w:t>
            </w:r>
          </w:p>
        </w:tc>
        <w:tc>
          <w:tcPr>
            <w:tcW w:type="dxa" w:w="1501"/>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RBAC</w:t>
            </w:r>
          </w:p>
        </w:tc>
        <w:tc>
          <w:tcPr>
            <w:tcW w:type="dxa" w:w="3859"/>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Role-Based Access Control</w:t>
            </w:r>
          </w:p>
        </w:tc>
      </w:tr>
      <w:tr>
        <w:trPr>
          <w:cantSplit/>
          <w:tblHeader w:val="false"/>
        </w:trPr>
        <w:tc>
          <w:tcPr>
            <w:tcW w:type="dxa" w:w="1286"/>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REST API</w:t>
            </w:r>
          </w:p>
        </w:tc>
        <w:tc>
          <w:tcPr>
            <w:tcW w:type="dxa" w:w="4074"/>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Web interface exchanging JSON over HTTPS</w:t>
            </w:r>
          </w:p>
        </w:tc>
        <w:tc>
          <w:tcPr>
            <w:tcW w:type="dxa" w:w="1501"/>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SSO</w:t>
            </w:r>
          </w:p>
        </w:tc>
        <w:tc>
          <w:tcPr>
            <w:tcW w:type="dxa" w:w="3859"/>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Single Sign-On with institutional account</w:t>
            </w:r>
          </w:p>
        </w:tc>
      </w:tr>
      <w:tr>
        <w:trPr>
          <w:cantSplit/>
          <w:tblHeader w:val="false"/>
        </w:trPr>
        <w:tc>
          <w:tcPr>
            <w:tcW w:type="dxa" w:w="1286"/>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ER diagram</w:t>
            </w:r>
          </w:p>
        </w:tc>
        <w:tc>
          <w:tcPr>
            <w:tcW w:type="dxa" w:w="4074"/>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Diagram of data entities and relationships</w:t>
            </w:r>
          </w:p>
        </w:tc>
        <w:tc>
          <w:tcPr>
            <w:tcW w:type="dxa" w:w="1501"/>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TLS</w:t>
            </w:r>
          </w:p>
        </w:tc>
        <w:tc>
          <w:tcPr>
            <w:tcW w:type="dxa" w:w="3859"/>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Transport Layer Security (encryption in transit)</w:t>
            </w:r>
          </w:p>
        </w:tc>
      </w:tr>
      <w:tr>
        <w:trPr>
          <w:cantSplit/>
          <w:tblHeader w:val="false"/>
        </w:trPr>
        <w:tc>
          <w:tcPr>
            <w:tcW w:type="dxa" w:w="1286"/>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 / NFR</w:t>
            </w:r>
          </w:p>
        </w:tc>
        <w:tc>
          <w:tcPr>
            <w:tcW w:type="dxa" w:w="4074"/>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Functional / Non-Functional Requirement</w:t>
            </w:r>
          </w:p>
        </w:tc>
        <w:tc>
          <w:tcPr>
            <w:tcW w:type="dxa" w:w="1501"/>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Add/Drop</w:t>
            </w:r>
          </w:p>
        </w:tc>
        <w:tc>
          <w:tcPr>
            <w:tcW w:type="dxa" w:w="3859"/>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Period in which enrollment may be changed</w:t>
            </w:r>
          </w:p>
        </w:tc>
      </w:tr>
    </w:tbl>
    <w:p>
      <w:pPr>
        <w:keepNext/>
        <w:spacing w:after="40" w:before="90"/>
        <w:ind w:left="150" w:right="150"/>
        <w:outlineLvl w:val="1"/>
      </w:pPr>
      <w:r>
        <w:rPr>
          <w:rFonts w:ascii="Calibri" w:cs="Calibri" w:eastAsia="Calibri" w:hAnsi="Calibri"/>
          <w:b/>
          <w:bCs/>
          <w:color w:val="2E5C8A"/>
          <w:sz w:val="20"/>
          <w:szCs w:val="20"/>
        </w:rPr>
        <w:t xml:space="preserve">1.4 References</w:t>
      </w:r>
    </w:p>
    <w:p>
      <w:pPr>
        <w:keepLines/>
        <w:tabs>
          <w:tab w:val="left" w:pos="450"/>
        </w:tabs>
        <w:spacing w:after="30" w:line="250"/>
        <w:ind w:left="450" w:right="150" w:hanging="200"/>
      </w:pPr>
      <w:r>
        <w:rPr>
          <w:rFonts w:ascii="Calibri" w:cs="Calibri" w:eastAsia="Calibri" w:hAnsi="Calibri"/>
          <w:b/>
          <w:bCs/>
          <w:color w:val="2E5C8A"/>
          <w:sz w:val="19"/>
          <w:szCs w:val="19"/>
        </w:rPr>
        <w:t xml:space="preserve">•	</w:t>
      </w:r>
      <w:r>
        <w:rPr>
          <w:rFonts w:ascii="Calibri" w:cs="Calibri" w:eastAsia="Calibri" w:hAnsi="Calibri"/>
          <w:b w:val="false"/>
          <w:bCs w:val="false"/>
          <w:color w:val="1E2430"/>
          <w:sz w:val="19"/>
          <w:szCs w:val="19"/>
        </w:rPr>
        <w:t xml:space="preserve">IEEE Std 830-1998, Recommended Practice for Software Requirements Specifications</w:t>
      </w:r>
    </w:p>
    <w:p>
      <w:pPr>
        <w:keepLines/>
        <w:tabs>
          <w:tab w:val="left" w:pos="450"/>
        </w:tabs>
        <w:spacing w:after="30" w:line="250"/>
        <w:ind w:left="450" w:right="150" w:hanging="200"/>
      </w:pPr>
      <w:r>
        <w:rPr>
          <w:rFonts w:ascii="Calibri" w:cs="Calibri" w:eastAsia="Calibri" w:hAnsi="Calibri"/>
          <w:b/>
          <w:bCs/>
          <w:color w:val="2E5C8A"/>
          <w:sz w:val="19"/>
          <w:szCs w:val="19"/>
        </w:rPr>
        <w:t xml:space="preserve">•	</w:t>
      </w:r>
      <w:r>
        <w:rPr>
          <w:rFonts w:ascii="Calibri" w:cs="Calibri" w:eastAsia="Calibri" w:hAnsi="Calibri"/>
          <w:b w:val="false"/>
          <w:bCs w:val="false"/>
          <w:color w:val="1E2430"/>
          <w:sz w:val="19"/>
          <w:szCs w:val="19"/>
        </w:rPr>
        <w:t xml:space="preserve">ISO/IEC/IEEE 29148:2018, Systems and software engineering: Requirements engineering</w:t>
      </w:r>
    </w:p>
    <w:p>
      <w:pPr>
        <w:keepLines/>
        <w:tabs>
          <w:tab w:val="left" w:pos="450"/>
        </w:tabs>
        <w:spacing w:after="30" w:line="250"/>
        <w:ind w:left="450" w:right="150" w:hanging="200"/>
      </w:pPr>
      <w:r>
        <w:rPr>
          <w:rFonts w:ascii="Calibri" w:cs="Calibri" w:eastAsia="Calibri" w:hAnsi="Calibri"/>
          <w:b/>
          <w:bCs/>
          <w:color w:val="2E5C8A"/>
          <w:sz w:val="19"/>
          <w:szCs w:val="19"/>
        </w:rPr>
        <w:t xml:space="preserve">•	</w:t>
      </w:r>
      <w:r>
        <w:rPr>
          <w:rFonts w:ascii="Calibri" w:cs="Calibri" w:eastAsia="Calibri" w:hAnsi="Calibri"/>
          <w:b w:val="false"/>
          <w:bCs w:val="false"/>
          <w:color w:val="1E2430"/>
          <w:sz w:val="19"/>
          <w:szCs w:val="19"/>
        </w:rPr>
        <w:t xml:space="preserve">Existing systems reviewed for benchmarking: see Section 2.5</w:t>
      </w:r>
    </w:p>
    <w:p>
      <w:pPr>
        <w:spacing w:after="0"/>
        <w:sectPr>
          <w:type w:val="continuous"/>
          <w:pgSz w:w="12240" w:h="15840"/>
          <w:pgMar w:top="560" w:right="600" w:bottom="800" w:left="620" w:header="720" w:footer="720"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pPr>
        <w:keepNext/>
        <w:pBdr>
          <w:bottom w:val="single" w:color="C9A227" w:sz="8" w:space="2"/>
        </w:pBdr>
        <w:spacing w:after="70" w:before="150"/>
        <w:ind w:left="150" w:right="150"/>
        <w:outlineLvl w:val="0"/>
      </w:pPr>
      <w:r>
        <w:rPr>
          <w:rFonts w:ascii="Calibri" w:cs="Calibri" w:eastAsia="Calibri" w:hAnsi="Calibri"/>
          <w:b/>
          <w:bCs/>
          <w:color w:val="1B2A4A"/>
          <w:sz w:val="26"/>
          <w:szCs w:val="26"/>
        </w:rPr>
        <w:t xml:space="preserve">2.  Overall Description</w:t>
      </w:r>
    </w:p>
    <w:p>
      <w:pPr>
        <w:keepNext/>
        <w:spacing w:after="40" w:before="90"/>
        <w:ind w:left="150" w:right="150"/>
        <w:outlineLvl w:val="1"/>
      </w:pPr>
      <w:r>
        <w:rPr>
          <w:rFonts w:ascii="Calibri" w:cs="Calibri" w:eastAsia="Calibri" w:hAnsi="Calibri"/>
          <w:b/>
          <w:bCs/>
          <w:color w:val="2E5C8A"/>
          <w:sz w:val="20"/>
          <w:szCs w:val="20"/>
        </w:rPr>
        <w:t xml:space="preserve">2.1 Product Perspective</w:t>
      </w:r>
    </w:p>
    <w:p>
      <w:pPr>
        <w:keepLines/>
        <w:spacing w:after="70" w:before="0" w:line="250"/>
        <w:ind w:left="150" w:right="150"/>
        <w:jc w:val="left"/>
      </w:pPr>
      <w:r>
        <w:rPr>
          <w:rFonts w:ascii="Calibri" w:cs="Calibri" w:eastAsia="Calibri" w:hAnsi="Calibri"/>
          <w:b w:val="false"/>
          <w:bCs w:val="false"/>
          <w:color w:val="1E2430"/>
          <w:sz w:val="19"/>
          <w:szCs w:val="19"/>
        </w:rPr>
        <w:t xml:space="preserve">OSMS is a new, self-contained three-tier web application (Section 3). It may optionally connect to the institution's single sign-on, a payment gateway and an email/SMS service. It does not replace HR, library or alumni systems.</w:t>
      </w:r>
    </w:p>
    <w:p>
      <w:pPr>
        <w:keepNext/>
        <w:spacing w:after="40" w:before="90"/>
        <w:ind w:left="150" w:right="150"/>
        <w:outlineLvl w:val="1"/>
      </w:pPr>
      <w:r>
        <w:rPr>
          <w:rFonts w:ascii="Calibri" w:cs="Calibri" w:eastAsia="Calibri" w:hAnsi="Calibri"/>
          <w:b/>
          <w:bCs/>
          <w:color w:val="2E5C8A"/>
          <w:sz w:val="20"/>
          <w:szCs w:val="20"/>
        </w:rPr>
        <w:t xml:space="preserve">2.2 Product Functions</w:t>
      </w:r>
    </w:p>
    <w:tbl>
      <w:tblPr>
        <w:tblW w:type="dxa" w:w="10720"/>
        <w:tblInd w:type="dxa" w:w="150"/>
        <w:tblBorders>
          <w:top w:val="single" w:color="auto" w:sz="4"/>
          <w:left w:val="single" w:color="auto" w:sz="4"/>
          <w:bottom w:val="single" w:color="auto" w:sz="4"/>
          <w:right w:val="single" w:color="auto" w:sz="4"/>
          <w:insideH w:val="single" w:color="auto" w:sz="4"/>
          <w:insideV w:val="single" w:color="auto" w:sz="4"/>
        </w:tblBorders>
      </w:tblPr>
      <w:tblGrid>
        <w:gridCol w:w="2358"/>
        <w:gridCol w:w="6003"/>
        <w:gridCol w:w="2359"/>
      </w:tblGrid>
      <w:tr>
        <w:trPr>
          <w:cantSplit/>
          <w:tblHeader/>
        </w:trPr>
        <w:tc>
          <w:tcPr>
            <w:tcW w:type="dxa" w:w="2358"/>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Module</w:t>
            </w:r>
          </w:p>
        </w:tc>
        <w:tc>
          <w:tcPr>
            <w:tcW w:type="dxa" w:w="6003"/>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What it does</w:t>
            </w:r>
          </w:p>
        </w:tc>
        <w:tc>
          <w:tcPr>
            <w:tcW w:type="dxa" w:w="2359"/>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Main users</w:t>
            </w:r>
          </w:p>
        </w:tc>
      </w:tr>
      <w:tr>
        <w:trPr>
          <w:cantSplit/>
          <w:tblHeader w:val="false"/>
        </w:trPr>
        <w:tc>
          <w:tcPr>
            <w:tcW w:type="dxa" w:w="2358"/>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Authentication &amp; Access</w:t>
            </w:r>
          </w:p>
        </w:tc>
        <w:tc>
          <w:tcPr>
            <w:tcW w:type="dxa" w:w="6003"/>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Secure login, role-based dashboards, password reset</w:t>
            </w:r>
          </w:p>
        </w:tc>
        <w:tc>
          <w:tcPr>
            <w:tcW w:type="dxa" w:w="2359"/>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All users</w:t>
            </w:r>
          </w:p>
        </w:tc>
      </w:tr>
      <w:tr>
        <w:trPr>
          <w:cantSplit/>
          <w:tblHeader w:val="false"/>
        </w:trPr>
        <w:tc>
          <w:tcPr>
            <w:tcW w:type="dxa" w:w="2358"/>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Student &amp; Academic Records</w:t>
            </w:r>
          </w:p>
        </w:tc>
        <w:tc>
          <w:tcPr>
            <w:tcW w:type="dxa" w:w="6003"/>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Student profiles and a historical academic record</w:t>
            </w:r>
          </w:p>
        </w:tc>
        <w:tc>
          <w:tcPr>
            <w:tcW w:type="dxa" w:w="2359"/>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Admin, Student</w:t>
            </w:r>
          </w:p>
        </w:tc>
      </w:tr>
      <w:tr>
        <w:trPr>
          <w:cantSplit/>
          <w:tblHeader w:val="false"/>
        </w:trPr>
        <w:tc>
          <w:tcPr>
            <w:tcW w:type="dxa" w:w="2358"/>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Course Enrollment</w:t>
            </w:r>
          </w:p>
        </w:tc>
        <w:tc>
          <w:tcPr>
            <w:tcW w:type="dxa" w:w="6003"/>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Course catalogue, live seat count, enroll / drop, waitlist</w:t>
            </w:r>
          </w:p>
        </w:tc>
        <w:tc>
          <w:tcPr>
            <w:tcW w:type="dxa" w:w="2359"/>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Student</w:t>
            </w:r>
          </w:p>
        </w:tc>
      </w:tr>
      <w:tr>
        <w:trPr>
          <w:cantSplit/>
          <w:tblHeader w:val="false"/>
        </w:trPr>
        <w:tc>
          <w:tcPr>
            <w:tcW w:type="dxa" w:w="2358"/>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Attendance &amp; Grading</w:t>
            </w:r>
          </w:p>
        </w:tc>
        <w:tc>
          <w:tcPr>
            <w:tcW w:type="dxa" w:w="6003"/>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Per-session attendance, grade entry, transcripts</w:t>
            </w:r>
          </w:p>
        </w:tc>
        <w:tc>
          <w:tcPr>
            <w:tcW w:type="dxa" w:w="2359"/>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Faculty, Student</w:t>
            </w:r>
          </w:p>
        </w:tc>
      </w:tr>
      <w:tr>
        <w:trPr>
          <w:cantSplit/>
          <w:tblHeader w:val="false"/>
        </w:trPr>
        <w:tc>
          <w:tcPr>
            <w:tcW w:type="dxa" w:w="2358"/>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Fee Management</w:t>
            </w:r>
          </w:p>
        </w:tc>
        <w:tc>
          <w:tcPr>
            <w:tcW w:type="dxa" w:w="6003"/>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Fee structure, balance, online payment, receipts</w:t>
            </w:r>
          </w:p>
        </w:tc>
        <w:tc>
          <w:tcPr>
            <w:tcW w:type="dxa" w:w="2359"/>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Student, Admin</w:t>
            </w:r>
          </w:p>
        </w:tc>
      </w:tr>
      <w:tr>
        <w:trPr>
          <w:cantSplit/>
          <w:tblHeader w:val="false"/>
        </w:trPr>
        <w:tc>
          <w:tcPr>
            <w:tcW w:type="dxa" w:w="2358"/>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Notices &amp; Timetable</w:t>
            </w:r>
          </w:p>
        </w:tc>
        <w:tc>
          <w:tcPr>
            <w:tcW w:type="dxa" w:w="6003"/>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Email / SMS alerts, announcements, timetable updates</w:t>
            </w:r>
          </w:p>
        </w:tc>
        <w:tc>
          <w:tcPr>
            <w:tcW w:type="dxa" w:w="2359"/>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All users</w:t>
            </w:r>
          </w:p>
        </w:tc>
      </w:tr>
    </w:tbl>
    <w:p>
      <w:pPr>
        <w:keepNext/>
        <w:spacing w:after="40" w:before="90"/>
        <w:ind w:left="150" w:right="150"/>
        <w:outlineLvl w:val="1"/>
      </w:pPr>
      <w:r>
        <w:rPr>
          <w:rFonts w:ascii="Calibri" w:cs="Calibri" w:eastAsia="Calibri" w:hAnsi="Calibri"/>
          <w:b/>
          <w:bCs/>
          <w:color w:val="2E5C8A"/>
          <w:sz w:val="20"/>
          <w:szCs w:val="20"/>
        </w:rPr>
        <w:t xml:space="preserve">2.3 User Classes and Characteristics</w:t>
      </w:r>
    </w:p>
    <w:tbl>
      <w:tblPr>
        <w:tblW w:type="dxa" w:w="10720"/>
        <w:tblInd w:type="dxa" w:w="150"/>
        <w:tblBorders>
          <w:top w:val="single" w:color="auto" w:sz="4"/>
          <w:left w:val="single" w:color="auto" w:sz="4"/>
          <w:bottom w:val="single" w:color="auto" w:sz="4"/>
          <w:right w:val="single" w:color="auto" w:sz="4"/>
          <w:insideH w:val="single" w:color="auto" w:sz="4"/>
          <w:insideV w:val="single" w:color="auto" w:sz="4"/>
        </w:tblBorders>
      </w:tblPr>
      <w:tblGrid>
        <w:gridCol w:w="1930"/>
        <w:gridCol w:w="5574"/>
        <w:gridCol w:w="3216"/>
      </w:tblGrid>
      <w:tr>
        <w:trPr>
          <w:cantSplit/>
          <w:tblHeader/>
        </w:trPr>
        <w:tc>
          <w:tcPr>
            <w:tcW w:type="dxa" w:w="1930"/>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User class</w:t>
            </w:r>
          </w:p>
        </w:tc>
        <w:tc>
          <w:tcPr>
            <w:tcW w:type="dxa" w:w="5574"/>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Description</w:t>
            </w:r>
          </w:p>
        </w:tc>
        <w:tc>
          <w:tcPr>
            <w:tcW w:type="dxa" w:w="3216"/>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Technical expertise</w:t>
            </w:r>
          </w:p>
        </w:tc>
      </w:tr>
      <w:tr>
        <w:trPr>
          <w:cantSplit/>
          <w:tblHeader w:val="false"/>
        </w:trPr>
        <w:tc>
          <w:tcPr>
            <w:tcW w:type="dxa" w:w="1930"/>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Student</w:t>
            </w:r>
          </w:p>
        </w:tc>
        <w:tc>
          <w:tcPr>
            <w:tcW w:type="dxa" w:w="5574"/>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Enrolls in courses, views attendance and grades, pays fees, receives notices</w:t>
            </w:r>
          </w:p>
        </w:tc>
        <w:tc>
          <w:tcPr>
            <w:tcW w:type="dxa" w:w="321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Basic computer literacy</w:t>
            </w:r>
          </w:p>
        </w:tc>
      </w:tr>
      <w:tr>
        <w:trPr>
          <w:cantSplit/>
          <w:tblHeader w:val="false"/>
        </w:trPr>
        <w:tc>
          <w:tcPr>
            <w:tcW w:type="dxa" w:w="1930"/>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Faculty</w:t>
            </w:r>
          </w:p>
        </w:tc>
        <w:tc>
          <w:tcPr>
            <w:tcW w:type="dxa" w:w="5574"/>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Marks attendance, enters grades, manages course schedules</w:t>
            </w:r>
          </w:p>
        </w:tc>
        <w:tc>
          <w:tcPr>
            <w:tcW w:type="dxa" w:w="321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Basic to moderate</w:t>
            </w:r>
          </w:p>
        </w:tc>
      </w:tr>
      <w:tr>
        <w:trPr>
          <w:cantSplit/>
          <w:tblHeader w:val="false"/>
        </w:trPr>
        <w:tc>
          <w:tcPr>
            <w:tcW w:type="dxa" w:w="1930"/>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Administrator</w:t>
            </w:r>
          </w:p>
        </w:tc>
        <w:tc>
          <w:tcPr>
            <w:tcW w:type="dxa" w:w="5574"/>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Manages users, courses, departments, fee structures and system settings</w:t>
            </w:r>
          </w:p>
        </w:tc>
        <w:tc>
          <w:tcPr>
            <w:tcW w:type="dxa" w:w="321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Moderate to advanced</w:t>
            </w:r>
          </w:p>
        </w:tc>
      </w:tr>
    </w:tbl>
    <w:p>
      <w:pPr>
        <w:keepNext/>
        <w:spacing w:after="40" w:before="90"/>
        <w:ind w:left="150" w:right="150"/>
        <w:outlineLvl w:val="1"/>
      </w:pPr>
      <w:r>
        <w:rPr>
          <w:rFonts w:ascii="Calibri" w:cs="Calibri" w:eastAsia="Calibri" w:hAnsi="Calibri"/>
          <w:b/>
          <w:bCs/>
          <w:color w:val="2E5C8A"/>
          <w:sz w:val="20"/>
          <w:szCs w:val="20"/>
        </w:rPr>
        <w:t xml:space="preserve">2.4 Operating Environment, Constraints and Assumptions</w:t>
      </w:r>
    </w:p>
    <w:tbl>
      <w:tblPr>
        <w:tblW w:type="dxa" w:w="10720"/>
        <w:tblInd w:type="dxa" w:w="150"/>
        <w:tblBorders>
          <w:top w:val="single" w:color="auto" w:sz="4"/>
          <w:left w:val="single" w:color="auto" w:sz="4"/>
          <w:bottom w:val="single" w:color="auto" w:sz="4"/>
          <w:right w:val="single" w:color="auto" w:sz="4"/>
          <w:insideH w:val="single" w:color="auto" w:sz="4"/>
          <w:insideV w:val="single" w:color="auto" w:sz="4"/>
        </w:tblBorders>
      </w:tblPr>
      <w:tblGrid>
        <w:gridCol w:w="3645"/>
        <w:gridCol w:w="3538"/>
        <w:gridCol w:w="3537"/>
      </w:tblGrid>
      <w:tr>
        <w:trPr>
          <w:cantSplit/>
          <w:tblHeader/>
        </w:trPr>
        <w:tc>
          <w:tcPr>
            <w:tcW w:type="dxa" w:w="3645"/>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Operating environment</w:t>
            </w:r>
          </w:p>
        </w:tc>
        <w:tc>
          <w:tcPr>
            <w:tcW w:type="dxa" w:w="3538"/>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Design constraints</w:t>
            </w:r>
          </w:p>
        </w:tc>
        <w:tc>
          <w:tcPr>
            <w:tcW w:type="dxa" w:w="3537"/>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Assumptions and dependencies</w:t>
            </w:r>
          </w:p>
        </w:tc>
      </w:tr>
      <w:tr>
        <w:trPr>
          <w:cantSplit/>
          <w:tblHeader w:val="false"/>
        </w:trPr>
        <w:tc>
          <w:tcPr>
            <w:tcW w:type="dxa" w:w="3645"/>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val="false"/>
              <w:keepLines/>
              <w:spacing w:after="30" w:line="240"/>
              <w:jc w:val="left"/>
            </w:pPr>
            <w:r>
              <w:rPr>
                <w:rFonts w:ascii="Calibri" w:cs="Calibri" w:eastAsia="Calibri" w:hAnsi="Calibri"/>
                <w:b w:val="false"/>
                <w:bCs w:val="false"/>
                <w:color w:val="1E2430"/>
                <w:sz w:val="17"/>
                <w:szCs w:val="17"/>
              </w:rPr>
              <w:t xml:space="preserve">Modern browsers (Chrome, Firefox, Edge, Safari) on desktop or mobile</w:t>
            </w:r>
          </w:p>
          <w:p>
            <w:pPr>
              <w:keepNext w:val="false"/>
              <w:keepLines/>
              <w:spacing w:after="30" w:line="240"/>
              <w:jc w:val="left"/>
            </w:pPr>
            <w:r>
              <w:rPr>
                <w:rFonts w:ascii="Calibri" w:cs="Calibri" w:eastAsia="Calibri" w:hAnsi="Calibri"/>
                <w:b w:val="false"/>
                <w:bCs w:val="false"/>
                <w:color w:val="1E2430"/>
                <w:sz w:val="17"/>
                <w:szCs w:val="17"/>
              </w:rPr>
              <w:t xml:space="preserve">Linux server running a REST API (Node.js, Java or Python)</w:t>
            </w:r>
          </w:p>
          <w:p>
            <w:pPr>
              <w:keepNext w:val="false"/>
              <w:keepLines/>
              <w:spacing w:after="0" w:line="240"/>
              <w:jc w:val="left"/>
            </w:pPr>
            <w:r>
              <w:rPr>
                <w:rFonts w:ascii="Calibri" w:cs="Calibri" w:eastAsia="Calibri" w:hAnsi="Calibri"/>
                <w:b w:val="false"/>
                <w:bCs w:val="false"/>
                <w:color w:val="1E2430"/>
                <w:sz w:val="17"/>
                <w:szCs w:val="17"/>
              </w:rPr>
              <w:t xml:space="preserve">MySQL or PostgreSQL database</w:t>
            </w:r>
          </w:p>
        </w:tc>
        <w:tc>
          <w:tcPr>
            <w:tcW w:type="dxa" w:w="3538"/>
            <w:tcBorders>
              <w:top w:val="single" w:color="C9D1DC" w:sz="4"/>
              <w:left w:val="single" w:color="C9D1DC" w:sz="4"/>
              <w:bottom w:val="single" w:color="C9D1DC" w:sz="4"/>
              <w:right w:val="single" w:color="C9D1DC" w:sz="4"/>
            </w:tcBorders>
            <w:shd w:fill="FBF3D5" w:color="auto" w:val="clear"/>
            <w:tcMar>
              <w:top w:type="dxa" w:w="45"/>
              <w:left w:type="dxa" w:w="90"/>
              <w:bottom w:type="dxa" w:w="45"/>
              <w:right w:type="dxa" w:w="90"/>
            </w:tcMar>
            <w:vAlign w:val="center"/>
          </w:tcPr>
          <w:p>
            <w:pPr>
              <w:keepNext w:val="false"/>
              <w:keepLines/>
              <w:spacing w:after="30" w:line="240"/>
              <w:jc w:val="left"/>
            </w:pPr>
            <w:r>
              <w:rPr>
                <w:rFonts w:ascii="Calibri" w:cs="Calibri" w:eastAsia="Calibri" w:hAnsi="Calibri"/>
                <w:b w:val="false"/>
                <w:bCs w:val="false"/>
                <w:color w:val="1E2430"/>
                <w:sz w:val="17"/>
                <w:szCs w:val="17"/>
              </w:rPr>
              <w:t xml:space="preserve">Secure coding; passwords stored as salted hashes</w:t>
            </w:r>
          </w:p>
          <w:p>
            <w:pPr>
              <w:keepNext w:val="false"/>
              <w:keepLines/>
              <w:spacing w:after="30" w:line="240"/>
              <w:jc w:val="left"/>
            </w:pPr>
            <w:r>
              <w:rPr>
                <w:rFonts w:ascii="Calibri" w:cs="Calibri" w:eastAsia="Calibri" w:hAnsi="Calibri"/>
                <w:b w:val="false"/>
                <w:bCs w:val="false"/>
                <w:color w:val="1E2430"/>
                <w:sz w:val="17"/>
                <w:szCs w:val="17"/>
              </w:rPr>
              <w:t xml:space="preserve">Must follow institutional data-privacy policy</w:t>
            </w:r>
          </w:p>
          <w:p>
            <w:pPr>
              <w:keepNext w:val="false"/>
              <w:keepLines/>
              <w:spacing w:after="0" w:line="240"/>
              <w:jc w:val="left"/>
            </w:pPr>
            <w:r>
              <w:rPr>
                <w:rFonts w:ascii="Calibri" w:cs="Calibri" w:eastAsia="Calibri" w:hAnsi="Calibri"/>
                <w:b w:val="false"/>
                <w:bCs w:val="false"/>
                <w:color w:val="1E2430"/>
                <w:sz w:val="17"/>
                <w:szCs w:val="17"/>
              </w:rPr>
              <w:t xml:space="preserve">Release 1 is single-institution, not multi-tenant</w:t>
            </w:r>
          </w:p>
        </w:tc>
        <w:tc>
          <w:tcPr>
            <w:tcW w:type="dxa" w:w="3537"/>
            <w:tcBorders>
              <w:top w:val="single" w:color="C9D1DC" w:sz="4"/>
              <w:left w:val="single" w:color="C9D1DC" w:sz="4"/>
              <w:bottom w:val="single" w:color="C9D1DC" w:sz="4"/>
              <w:right w:val="single" w:color="C9D1DC" w:sz="4"/>
            </w:tcBorders>
            <w:shd w:fill="E0F2E9" w:color="auto" w:val="clear"/>
            <w:tcMar>
              <w:top w:type="dxa" w:w="45"/>
              <w:left w:type="dxa" w:w="90"/>
              <w:bottom w:type="dxa" w:w="45"/>
              <w:right w:type="dxa" w:w="90"/>
            </w:tcMar>
            <w:vAlign w:val="center"/>
          </w:tcPr>
          <w:p>
            <w:pPr>
              <w:keepNext w:val="false"/>
              <w:keepLines/>
              <w:spacing w:after="30" w:line="240"/>
              <w:jc w:val="left"/>
            </w:pPr>
            <w:r>
              <w:rPr>
                <w:rFonts w:ascii="Calibri" w:cs="Calibri" w:eastAsia="Calibri" w:hAnsi="Calibri"/>
                <w:b w:val="false"/>
                <w:bCs w:val="false"/>
                <w:color w:val="1E2430"/>
                <w:sz w:val="17"/>
                <w:szCs w:val="17"/>
              </w:rPr>
              <w:t xml:space="preserve">Users have stable internet and a valid institutional email</w:t>
            </w:r>
          </w:p>
          <w:p>
            <w:pPr>
              <w:keepNext w:val="false"/>
              <w:keepLines/>
              <w:spacing w:after="0" w:line="240"/>
              <w:jc w:val="left"/>
            </w:pPr>
            <w:r>
              <w:rPr>
                <w:rFonts w:ascii="Calibri" w:cs="Calibri" w:eastAsia="Calibri" w:hAnsi="Calibri"/>
                <w:b w:val="false"/>
                <w:bCs w:val="false"/>
                <w:color w:val="1E2430"/>
                <w:sz w:val="17"/>
                <w:szCs w:val="17"/>
              </w:rPr>
              <w:t xml:space="preserve">Payment and email/SMS gateways stay available within agreed service levels</w:t>
            </w:r>
          </w:p>
        </w:tc>
      </w:tr>
    </w:tbl>
    <w:p>
      <w:pPr>
        <w:keepNext/>
        <w:spacing w:after="40" w:before="90"/>
        <w:ind w:left="150" w:right="150"/>
        <w:outlineLvl w:val="1"/>
      </w:pPr>
      <w:r>
        <w:rPr>
          <w:rFonts w:ascii="Calibri" w:cs="Calibri" w:eastAsia="Calibri" w:hAnsi="Calibri"/>
          <w:b/>
          <w:bCs/>
          <w:color w:val="2E5C8A"/>
          <w:sz w:val="20"/>
          <w:szCs w:val="20"/>
        </w:rPr>
        <w:t xml:space="preserve">2.5 Related Systems Study</w:t>
      </w:r>
    </w:p>
    <w:p>
      <w:pPr>
        <w:keepLines/>
        <w:spacing w:after="50" w:before="0" w:line="250"/>
        <w:ind w:left="150" w:right="150"/>
        <w:jc w:val="left"/>
      </w:pPr>
      <w:r>
        <w:rPr>
          <w:rFonts w:ascii="Calibri" w:cs="Calibri" w:eastAsia="Calibri" w:hAnsi="Calibri"/>
          <w:b w:val="false"/>
          <w:bCs w:val="false"/>
          <w:color w:val="1E2430"/>
          <w:sz w:val="19"/>
          <w:szCs w:val="19"/>
        </w:rPr>
        <w:t xml:space="preserve">Existing products were reviewed to confirm which features a student management system must have (descriptions follow each project's public documentation).</w:t>
      </w:r>
    </w:p>
    <w:tbl>
      <w:tblPr>
        <w:tblW w:type="dxa" w:w="10720"/>
        <w:tblInd w:type="dxa" w:w="150"/>
        <w:tblBorders>
          <w:top w:val="single" w:color="auto" w:sz="4"/>
          <w:left w:val="single" w:color="auto" w:sz="4"/>
          <w:bottom w:val="single" w:color="auto" w:sz="4"/>
          <w:right w:val="single" w:color="auto" w:sz="4"/>
          <w:insideH w:val="single" w:color="auto" w:sz="4"/>
          <w:insideV w:val="single" w:color="auto" w:sz="4"/>
        </w:tblBorders>
      </w:tblPr>
      <w:tblGrid>
        <w:gridCol w:w="1715"/>
        <w:gridCol w:w="4502"/>
        <w:gridCol w:w="4503"/>
      </w:tblGrid>
      <w:tr>
        <w:trPr>
          <w:cantSplit/>
          <w:tblHeader/>
        </w:trPr>
        <w:tc>
          <w:tcPr>
            <w:tcW w:type="dxa" w:w="1715"/>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System</w:t>
            </w:r>
          </w:p>
        </w:tc>
        <w:tc>
          <w:tcPr>
            <w:tcW w:type="dxa" w:w="4502"/>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Typical scope</w:t>
            </w:r>
          </w:p>
        </w:tc>
        <w:tc>
          <w:tcPr>
            <w:tcW w:type="dxa" w:w="4503"/>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Idea reused in OSMS</w:t>
            </w:r>
          </w:p>
        </w:tc>
      </w:tr>
      <w:tr>
        <w:trPr>
          <w:cantSplit/>
          <w:tblHeader w:val="false"/>
        </w:trPr>
        <w:tc>
          <w:tcPr>
            <w:tcW w:type="dxa" w:w="171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Moodle</w:t>
            </w:r>
          </w:p>
        </w:tc>
        <w:tc>
          <w:tcPr>
            <w:tcW w:type="dxa" w:w="450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Open-source learning management system: courses, activities, gradebook</w:t>
            </w:r>
          </w:p>
        </w:tc>
        <w:tc>
          <w:tcPr>
            <w:tcW w:type="dxa" w:w="4503"/>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Course enrollment with capacity limits and a gradebook</w:t>
            </w:r>
          </w:p>
        </w:tc>
      </w:tr>
      <w:tr>
        <w:trPr>
          <w:cantSplit/>
          <w:tblHeader w:val="false"/>
        </w:trPr>
        <w:tc>
          <w:tcPr>
            <w:tcW w:type="dxa" w:w="171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Google Classroom</w:t>
            </w:r>
          </w:p>
        </w:tc>
        <w:tc>
          <w:tcPr>
            <w:tcW w:type="dxa" w:w="450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Free class workspace for assignments, grading and announcements</w:t>
            </w:r>
          </w:p>
        </w:tc>
        <w:tc>
          <w:tcPr>
            <w:tcW w:type="dxa" w:w="4503"/>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Simple role-based dashboards and announcements</w:t>
            </w:r>
          </w:p>
        </w:tc>
      </w:tr>
      <w:tr>
        <w:trPr>
          <w:cantSplit/>
          <w:tblHeader w:val="false"/>
        </w:trPr>
        <w:tc>
          <w:tcPr>
            <w:tcW w:type="dxa" w:w="171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openSIS</w:t>
            </w:r>
          </w:p>
        </w:tc>
        <w:tc>
          <w:tcPr>
            <w:tcW w:type="dxa" w:w="450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Open-source student information system: records, scheduling, attendance</w:t>
            </w:r>
          </w:p>
        </w:tc>
        <w:tc>
          <w:tcPr>
            <w:tcW w:type="dxa" w:w="4503"/>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Student record and attendance structure</w:t>
            </w:r>
          </w:p>
        </w:tc>
      </w:tr>
      <w:tr>
        <w:trPr>
          <w:cantSplit/>
          <w:tblHeader w:val="false"/>
        </w:trPr>
        <w:tc>
          <w:tcPr>
            <w:tcW w:type="dxa" w:w="171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Fedena</w:t>
            </w:r>
          </w:p>
        </w:tc>
        <w:tc>
          <w:tcPr>
            <w:tcW w:type="dxa" w:w="450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School/college ERP with attendance, timetable, exams and fee modules</w:t>
            </w:r>
          </w:p>
        </w:tc>
        <w:tc>
          <w:tcPr>
            <w:tcW w:type="dxa" w:w="4503"/>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Fee collection and timetable alongside academics</w:t>
            </w:r>
          </w:p>
        </w:tc>
      </w:tr>
      <w:tr>
        <w:trPr>
          <w:cantSplit/>
          <w:tblHeader w:val="false"/>
        </w:trPr>
        <w:tc>
          <w:tcPr>
            <w:tcW w:type="dxa" w:w="171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Ellucian Banner</w:t>
            </w:r>
          </w:p>
        </w:tc>
        <w:tc>
          <w:tcPr>
            <w:tcW w:type="dxa" w:w="450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Enterprise higher-education ERP: registration, billing, academic records</w:t>
            </w:r>
          </w:p>
        </w:tc>
        <w:tc>
          <w:tcPr>
            <w:tcW w:type="dxa" w:w="4503"/>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Registration-to-transcript workflow at institution scale</w:t>
            </w:r>
          </w:p>
        </w:tc>
      </w:tr>
    </w:tbl>
    <w:p>
      <w:pPr>
        <w:keepLines/>
        <w:spacing w:after="70" w:before="50" w:line="250"/>
        <w:ind w:left="150" w:right="150"/>
        <w:jc w:val="left"/>
      </w:pPr>
      <w:r>
        <w:rPr>
          <w:rFonts w:ascii="Calibri" w:cs="Calibri" w:eastAsia="Calibri" w:hAnsi="Calibri"/>
          <w:b w:val="false"/>
          <w:bCs w:val="false"/>
          <w:color w:val="1E2430"/>
          <w:sz w:val="19"/>
          <w:szCs w:val="19"/>
        </w:rPr>
        <w:t xml:space="preserve">OSMS combines these proven ideas in one lightweight system sized for a single college.</w:t>
      </w:r>
    </w:p>
    <w:p>
      <w:pPr>
        <w:keepNext/>
        <w:pBdr>
          <w:bottom w:val="single" w:color="C9A227" w:sz="8" w:space="2"/>
        </w:pBdr>
        <w:spacing w:after="70" w:before="150"/>
        <w:ind w:left="150" w:right="150"/>
        <w:outlineLvl w:val="0"/>
      </w:pPr>
      <w:r>
        <w:rPr>
          <w:rFonts w:ascii="Calibri" w:cs="Calibri" w:eastAsia="Calibri" w:hAnsi="Calibri"/>
          <w:b/>
          <w:bCs/>
          <w:color w:val="1B2A4A"/>
          <w:sz w:val="26"/>
          <w:szCs w:val="26"/>
        </w:rPr>
        <w:t xml:space="preserve">3.  System Architecture and Use Cases</w:t>
      </w:r>
    </w:p>
    <w:p>
      <w:pPr>
        <w:keepNext/>
        <w:keepLines/>
        <w:spacing w:after="30" w:before="0" w:line="250"/>
        <w:ind w:left="150" w:right="150"/>
        <w:jc w:val="left"/>
      </w:pPr>
      <w:r>
        <w:rPr>
          <w:rFonts w:ascii="Calibri" w:cs="Calibri" w:eastAsia="Calibri" w:hAnsi="Calibri"/>
          <w:b w:val="false"/>
          <w:bCs w:val="false"/>
          <w:color w:val="1E2430"/>
          <w:sz w:val="19"/>
          <w:szCs w:val="19"/>
        </w:rPr>
        <w:t xml:space="preserve">Figure 1 shows who uses OSMS and what each role can do. Figure 2 shows how the system is split into three tiers so that screens, business rules and data can change independently.</w:t>
      </w:r>
    </w:p>
    <w:p>
      <w:pPr>
        <w:keepLines/>
        <w:spacing w:after="60" w:before="50"/>
        <w:jc w:val="center"/>
      </w:pPr>
      <w:r>
        <w:drawing>
          <wp:inline distT="0" distB="0" distL="0" distR="0">
            <wp:extent cx="6096000" cy="3419475"/>
            <wp:effectExtent t="0" r="0" b="0" l="0"/>
            <wp:docPr id="1" name="fig1_use_case" descr="fig1_use_case" title="fig1_use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Srs7" cstate="none"/>
                    <a:srcRect/>
                    <a:stretch>
                      <a:fillRect/>
                    </a:stretch>
                  </pic:blipFill>
                  <pic:spPr bwMode="auto">
                    <a:xfrm>
                      <a:off x="0" y="0"/>
                      <a:ext cx="6096000" cy="3419475"/>
                    </a:xfrm>
                    <a:prstGeom prst="rect">
                      <a:avLst/>
                    </a:prstGeom>
                  </pic:spPr>
                </pic:pic>
              </a:graphicData>
            </a:graphic>
          </wp:inline>
        </w:drawing>
      </w:r>
    </w:p>
    <w:p>
      <w:pPr>
        <w:keepLines/>
        <w:spacing w:after="60" w:before="50"/>
        <w:jc w:val="center"/>
      </w:pPr>
      <w:r>
        <w:drawing>
          <wp:inline distT="0" distB="0" distL="0" distR="0">
            <wp:extent cx="6096000" cy="3343275"/>
            <wp:effectExtent t="0" r="0" b="0" l="0"/>
            <wp:docPr id="1" name="fig2_architecture" descr="fig2_architecture" title="fig2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Srs8" cstate="none"/>
                    <a:srcRect/>
                    <a:stretch>
                      <a:fillRect/>
                    </a:stretch>
                  </pic:blipFill>
                  <pic:spPr bwMode="auto">
                    <a:xfrm>
                      <a:off x="0" y="0"/>
                      <a:ext cx="6096000" cy="3343275"/>
                    </a:xfrm>
                    <a:prstGeom prst="rect">
                      <a:avLst/>
                    </a:prstGeom>
                  </pic:spPr>
                </pic:pic>
              </a:graphicData>
            </a:graphic>
          </wp:inline>
        </w:drawing>
      </w:r>
    </w:p>
    <w:p>
      <w:pPr>
        <w:keepNext/>
        <w:pageBreakBefore/>
        <w:pBdr>
          <w:bottom w:val="single" w:color="C9A227" w:sz="8" w:space="2"/>
        </w:pBdr>
        <w:spacing w:after="70" w:before="150"/>
        <w:ind w:left="150" w:right="150"/>
        <w:outlineLvl w:val="0"/>
      </w:pPr>
      <w:r>
        <w:rPr>
          <w:rFonts w:ascii="Calibri" w:cs="Calibri" w:eastAsia="Calibri" w:hAnsi="Calibri"/>
          <w:b/>
          <w:bCs/>
          <w:color w:val="1B2A4A"/>
          <w:sz w:val="26"/>
          <w:szCs w:val="26"/>
        </w:rPr>
        <w:t xml:space="preserve">4.  Functional Requirements</w:t>
      </w:r>
    </w:p>
    <w:p>
      <w:pPr>
        <w:keepLines/>
        <w:spacing w:after="50" w:before="0" w:line="250"/>
        <w:ind w:left="150" w:right="150"/>
        <w:jc w:val="left"/>
      </w:pPr>
      <w:r>
        <w:rPr>
          <w:rFonts w:ascii="Calibri" w:cs="Calibri" w:eastAsia="Calibri" w:hAnsi="Calibri"/>
          <w:b w:val="false"/>
          <w:bCs w:val="false"/>
          <w:color w:val="1E2430"/>
          <w:sz w:val="19"/>
          <w:szCs w:val="19"/>
        </w:rPr>
        <w:t xml:space="preserve">High-priority requirements are shaded; each requirement is identified as FR-group.number for traceability.</w:t>
      </w:r>
    </w:p>
    <w:tbl>
      <w:tblPr>
        <w:tblW w:type="dxa" w:w="10720"/>
        <w:tblInd w:type="dxa" w:w="150"/>
        <w:tblBorders>
          <w:top w:val="single" w:color="auto" w:sz="4"/>
          <w:left w:val="single" w:color="auto" w:sz="4"/>
          <w:bottom w:val="single" w:color="auto" w:sz="4"/>
          <w:right w:val="single" w:color="auto" w:sz="4"/>
          <w:insideH w:val="single" w:color="auto" w:sz="4"/>
          <w:insideV w:val="single" w:color="auto" w:sz="4"/>
        </w:tblBorders>
      </w:tblPr>
      <w:tblGrid>
        <w:gridCol w:w="965"/>
        <w:gridCol w:w="6646"/>
        <w:gridCol w:w="1822"/>
        <w:gridCol w:w="1287"/>
      </w:tblGrid>
      <w:tr>
        <w:trPr>
          <w:cantSplit/>
          <w:tblHeader/>
        </w:trPr>
        <w:tc>
          <w:tcPr>
            <w:tcW w:type="dxa" w:w="965"/>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FFFFFF"/>
                <w:sz w:val="17"/>
                <w:szCs w:val="17"/>
              </w:rPr>
              <w:t xml:space="preserve">ID</w:t>
            </w:r>
          </w:p>
        </w:tc>
        <w:tc>
          <w:tcPr>
            <w:tcW w:type="dxa" w:w="6646"/>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FFFFFF"/>
                <w:sz w:val="17"/>
                <w:szCs w:val="17"/>
              </w:rPr>
              <w:t xml:space="preserve">Requirement (the system shall…)</w:t>
            </w:r>
          </w:p>
        </w:tc>
        <w:tc>
          <w:tcPr>
            <w:tcW w:type="dxa" w:w="1822"/>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FFFFFF"/>
                <w:sz w:val="17"/>
                <w:szCs w:val="17"/>
              </w:rPr>
              <w:t xml:space="preserve">Actor</w:t>
            </w:r>
          </w:p>
        </w:tc>
        <w:tc>
          <w:tcPr>
            <w:tcW w:type="dxa" w:w="1287"/>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FFFFFF"/>
                <w:sz w:val="17"/>
                <w:szCs w:val="17"/>
              </w:rPr>
              <w:t xml:space="preserve">Priority</w:t>
            </w:r>
          </w:p>
        </w:tc>
      </w:tr>
      <w:tr>
        <w:trPr>
          <w:cantSplit/>
          <w:tblHeader w:val="false"/>
        </w:trPr>
        <w:tc>
          <w:tcPr>
            <w:tcW w:type="dxa" w:w="10720"/>
            <w:gridSpan w:val="4"/>
            <w:tcBorders>
              <w:top w:val="single" w:color="C9D1DC" w:sz="4"/>
              <w:left w:val="single" w:color="C9D1DC" w:sz="4"/>
              <w:bottom w:val="single" w:color="C9D1DC" w:sz="4"/>
              <w:right w:val="single" w:color="C9D1DC" w:sz="4"/>
            </w:tcBorders>
            <w:shd w:fill="D7E3F2"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4.1  Authentication &amp; Access Control</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FR-1.1</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allow registered users to log in with email / ID and password</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All users</w:t>
            </w:r>
          </w:p>
        </w:tc>
        <w:tc>
          <w:tcPr>
            <w:tcW w:type="dxa" w:w="1287"/>
            <w:tcBorders>
              <w:top w:val="single" w:color="C9D1DC" w:sz="4"/>
              <w:left w:val="single" w:color="C9D1DC" w:sz="4"/>
              <w:bottom w:val="single" w:color="C9D1DC" w:sz="4"/>
              <w:right w:val="single" w:color="C9D1DC" w:sz="4"/>
            </w:tcBorders>
            <w:shd w:fill="FBE9C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High</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FR-1.2</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enforce role-based access control for Student, Faculty and Admin views</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All users</w:t>
            </w:r>
          </w:p>
        </w:tc>
        <w:tc>
          <w:tcPr>
            <w:tcW w:type="dxa" w:w="1287"/>
            <w:tcBorders>
              <w:top w:val="single" w:color="C9D1DC" w:sz="4"/>
              <w:left w:val="single" w:color="C9D1DC" w:sz="4"/>
              <w:bottom w:val="single" w:color="C9D1DC" w:sz="4"/>
              <w:right w:val="single" w:color="C9D1DC" w:sz="4"/>
            </w:tcBorders>
            <w:shd w:fill="FBE9C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High</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FR-1.3</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let users reset a forgotten password through email verification</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All users</w:t>
            </w:r>
          </w:p>
        </w:tc>
        <w:tc>
          <w:tcPr>
            <w:tcW w:type="dxa" w:w="1287"/>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Medium</w:t>
            </w:r>
          </w:p>
        </w:tc>
      </w:tr>
      <w:tr>
        <w:trPr>
          <w:cantSplit/>
          <w:tblHeader w:val="false"/>
        </w:trPr>
        <w:tc>
          <w:tcPr>
            <w:tcW w:type="dxa" w:w="10720"/>
            <w:gridSpan w:val="4"/>
            <w:tcBorders>
              <w:top w:val="single" w:color="C9D1DC" w:sz="4"/>
              <w:left w:val="single" w:color="C9D1DC" w:sz="4"/>
              <w:bottom w:val="single" w:color="C9D1DC" w:sz="4"/>
              <w:right w:val="single" w:color="C9D1DC" w:sz="4"/>
            </w:tcBorders>
            <w:shd w:fill="D7E3F2"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4.2  Student &amp; Academic Records</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FR-2.1</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allow Admins to create, update and deactivate student profiles</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Admin</w:t>
            </w:r>
          </w:p>
        </w:tc>
        <w:tc>
          <w:tcPr>
            <w:tcW w:type="dxa" w:w="1287"/>
            <w:tcBorders>
              <w:top w:val="single" w:color="C9D1DC" w:sz="4"/>
              <w:left w:val="single" w:color="C9D1DC" w:sz="4"/>
              <w:bottom w:val="single" w:color="C9D1DC" w:sz="4"/>
              <w:right w:val="single" w:color="C9D1DC" w:sz="4"/>
            </w:tcBorders>
            <w:shd w:fill="FBE9C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High</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FR-2.2</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allow students to view and update permitted personal details</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Student</w:t>
            </w:r>
          </w:p>
        </w:tc>
        <w:tc>
          <w:tcPr>
            <w:tcW w:type="dxa" w:w="1287"/>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Medium</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FR-2.3</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maintain a historical academic record for every student</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System</w:t>
            </w:r>
          </w:p>
        </w:tc>
        <w:tc>
          <w:tcPr>
            <w:tcW w:type="dxa" w:w="1287"/>
            <w:tcBorders>
              <w:top w:val="single" w:color="C9D1DC" w:sz="4"/>
              <w:left w:val="single" w:color="C9D1DC" w:sz="4"/>
              <w:bottom w:val="single" w:color="C9D1DC" w:sz="4"/>
              <w:right w:val="single" w:color="C9D1DC" w:sz="4"/>
            </w:tcBorders>
            <w:shd w:fill="FBE9C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High</w:t>
            </w:r>
          </w:p>
        </w:tc>
      </w:tr>
      <w:tr>
        <w:trPr>
          <w:cantSplit/>
          <w:tblHeader w:val="false"/>
        </w:trPr>
        <w:tc>
          <w:tcPr>
            <w:tcW w:type="dxa" w:w="10720"/>
            <w:gridSpan w:val="4"/>
            <w:tcBorders>
              <w:top w:val="single" w:color="C9D1DC" w:sz="4"/>
              <w:left w:val="single" w:color="C9D1DC" w:sz="4"/>
              <w:bottom w:val="single" w:color="C9D1DC" w:sz="4"/>
              <w:right w:val="single" w:color="C9D1DC" w:sz="4"/>
            </w:tcBorders>
            <w:shd w:fill="D7E3F2"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4.3  Course Enrollment</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FR-3.1</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display available courses with seat availability in real time</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Student</w:t>
            </w:r>
          </w:p>
        </w:tc>
        <w:tc>
          <w:tcPr>
            <w:tcW w:type="dxa" w:w="1287"/>
            <w:tcBorders>
              <w:top w:val="single" w:color="C9D1DC" w:sz="4"/>
              <w:left w:val="single" w:color="C9D1DC" w:sz="4"/>
              <w:bottom w:val="single" w:color="C9D1DC" w:sz="4"/>
              <w:right w:val="single" w:color="C9D1DC" w:sz="4"/>
            </w:tcBorders>
            <w:shd w:fill="FBE9C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High</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FR-3.2</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allow students to enroll in or drop a course within the add/drop window</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Student</w:t>
            </w:r>
          </w:p>
        </w:tc>
        <w:tc>
          <w:tcPr>
            <w:tcW w:type="dxa" w:w="1287"/>
            <w:tcBorders>
              <w:top w:val="single" w:color="C9D1DC" w:sz="4"/>
              <w:left w:val="single" w:color="C9D1DC" w:sz="4"/>
              <w:bottom w:val="single" w:color="C9D1DC" w:sz="4"/>
              <w:right w:val="single" w:color="C9D1DC" w:sz="4"/>
            </w:tcBorders>
            <w:shd w:fill="FBE9C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High</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FR-3.3</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place a student on a waitlist when a course reaches capacity</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System</w:t>
            </w:r>
          </w:p>
        </w:tc>
        <w:tc>
          <w:tcPr>
            <w:tcW w:type="dxa" w:w="1287"/>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Medium</w:t>
            </w:r>
          </w:p>
        </w:tc>
      </w:tr>
      <w:tr>
        <w:trPr>
          <w:cantSplit/>
          <w:tblHeader w:val="false"/>
        </w:trPr>
        <w:tc>
          <w:tcPr>
            <w:tcW w:type="dxa" w:w="10720"/>
            <w:gridSpan w:val="4"/>
            <w:tcBorders>
              <w:top w:val="single" w:color="C9D1DC" w:sz="4"/>
              <w:left w:val="single" w:color="C9D1DC" w:sz="4"/>
              <w:bottom w:val="single" w:color="C9D1DC" w:sz="4"/>
              <w:right w:val="single" w:color="C9D1DC" w:sz="4"/>
            </w:tcBorders>
            <w:shd w:fill="D7E3F2"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4.4  Attendance &amp; Grading</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FR-4.1</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allow faculty to mark and edit attendance for each session</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Faculty</w:t>
            </w:r>
          </w:p>
        </w:tc>
        <w:tc>
          <w:tcPr>
            <w:tcW w:type="dxa" w:w="1287"/>
            <w:tcBorders>
              <w:top w:val="single" w:color="C9D1DC" w:sz="4"/>
              <w:left w:val="single" w:color="C9D1DC" w:sz="4"/>
              <w:bottom w:val="single" w:color="C9D1DC" w:sz="4"/>
              <w:right w:val="single" w:color="C9D1DC" w:sz="4"/>
            </w:tcBorders>
            <w:shd w:fill="FBE9C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High</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FR-4.2</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allow faculty to enter and update grades for each assessment component</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Faculty</w:t>
            </w:r>
          </w:p>
        </w:tc>
        <w:tc>
          <w:tcPr>
            <w:tcW w:type="dxa" w:w="1287"/>
            <w:tcBorders>
              <w:top w:val="single" w:color="C9D1DC" w:sz="4"/>
              <w:left w:val="single" w:color="C9D1DC" w:sz="4"/>
              <w:bottom w:val="single" w:color="C9D1DC" w:sz="4"/>
              <w:right w:val="single" w:color="C9D1DC" w:sz="4"/>
            </w:tcBorders>
            <w:shd w:fill="FBE9C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High</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FR-4.3</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calculate final grades automatically and generate a transcript PDF</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System</w:t>
            </w:r>
          </w:p>
        </w:tc>
        <w:tc>
          <w:tcPr>
            <w:tcW w:type="dxa" w:w="1287"/>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Medium</w:t>
            </w:r>
          </w:p>
        </w:tc>
      </w:tr>
      <w:tr>
        <w:trPr>
          <w:cantSplit/>
          <w:tblHeader w:val="false"/>
        </w:trPr>
        <w:tc>
          <w:tcPr>
            <w:tcW w:type="dxa" w:w="10720"/>
            <w:gridSpan w:val="4"/>
            <w:tcBorders>
              <w:top w:val="single" w:color="C9D1DC" w:sz="4"/>
              <w:left w:val="single" w:color="C9D1DC" w:sz="4"/>
              <w:bottom w:val="single" w:color="C9D1DC" w:sz="4"/>
              <w:right w:val="single" w:color="C9D1DC" w:sz="4"/>
            </w:tcBorders>
            <w:shd w:fill="D7E3F2"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4.5  Fee Management &amp; Notifications</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FR-5.1</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display a student's fee structure and outstanding balance</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Student</w:t>
            </w:r>
          </w:p>
        </w:tc>
        <w:tc>
          <w:tcPr>
            <w:tcW w:type="dxa" w:w="1287"/>
            <w:tcBorders>
              <w:top w:val="single" w:color="C9D1DC" w:sz="4"/>
              <w:left w:val="single" w:color="C9D1DC" w:sz="4"/>
              <w:bottom w:val="single" w:color="C9D1DC" w:sz="4"/>
              <w:right w:val="single" w:color="C9D1DC" w:sz="4"/>
            </w:tcBorders>
            <w:shd w:fill="FBE9C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High</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FR-5.2</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process online fee payments and issue a digital receipt</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Student</w:t>
            </w:r>
          </w:p>
        </w:tc>
        <w:tc>
          <w:tcPr>
            <w:tcW w:type="dxa" w:w="1287"/>
            <w:tcBorders>
              <w:top w:val="single" w:color="C9D1DC" w:sz="4"/>
              <w:left w:val="single" w:color="C9D1DC" w:sz="4"/>
              <w:bottom w:val="single" w:color="C9D1DC" w:sz="4"/>
              <w:right w:val="single" w:color="C9D1DC" w:sz="4"/>
            </w:tcBorders>
            <w:shd w:fill="FBE9C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High</w:t>
            </w:r>
          </w:p>
        </w:tc>
      </w:tr>
      <w:tr>
        <w:trPr>
          <w:cantSplit/>
          <w:tblHeader w:val="false"/>
        </w:trPr>
        <w:tc>
          <w:tcPr>
            <w:tcW w:type="dxa" w:w="965"/>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FR-5.3</w:t>
            </w:r>
          </w:p>
        </w:tc>
        <w:tc>
          <w:tcPr>
            <w:tcW w:type="dxa" w:w="664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send email / SMS notifications for deadlines, results, announcements and timetable changes</w:t>
            </w:r>
          </w:p>
        </w:tc>
        <w:tc>
          <w:tcPr>
            <w:tcW w:type="dxa" w:w="1822"/>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System</w:t>
            </w:r>
          </w:p>
        </w:tc>
        <w:tc>
          <w:tcPr>
            <w:tcW w:type="dxa" w:w="1287"/>
            <w:tcBorders>
              <w:top w:val="single" w:color="C9D1DC" w:sz="4"/>
              <w:left w:val="single" w:color="C9D1DC" w:sz="4"/>
              <w:bottom w:val="single" w:color="C9D1DC" w:sz="4"/>
              <w:right w:val="single" w:color="C9D1DC" w:sz="4"/>
            </w:tcBorders>
            <w:shd w:fill="E3ECF6" w:color="auto" w:val="clear"/>
            <w:tcMar>
              <w:top w:type="dxa" w:w="45"/>
              <w:left w:type="dxa" w:w="90"/>
              <w:bottom w:type="dxa" w:w="45"/>
              <w:right w:type="dxa" w:w="90"/>
            </w:tcMar>
            <w:vAlign w:val="center"/>
          </w:tcPr>
          <w:p>
            <w:pPr>
              <w:keepNext w:val="false"/>
              <w:keepLines/>
              <w:spacing w:after="0" w:line="240"/>
              <w:jc w:val="center"/>
            </w:pPr>
            <w:r>
              <w:rPr>
                <w:rFonts w:ascii="Calibri" w:cs="Calibri" w:eastAsia="Calibri" w:hAnsi="Calibri"/>
                <w:b/>
                <w:bCs/>
                <w:color w:val="1E2430"/>
                <w:sz w:val="17"/>
                <w:szCs w:val="17"/>
              </w:rPr>
              <w:t xml:space="preserve">Medium</w:t>
            </w:r>
          </w:p>
        </w:tc>
      </w:tr>
    </w:tbl>
    <w:p>
      <w:pPr>
        <w:keepNext/>
        <w:spacing w:after="40" w:before="90"/>
        <w:ind w:left="150" w:right="150"/>
        <w:outlineLvl w:val="1"/>
      </w:pPr>
      <w:r>
        <w:rPr>
          <w:rFonts w:ascii="Calibri" w:cs="Calibri" w:eastAsia="Calibri" w:hAnsi="Calibri"/>
          <w:b/>
          <w:bCs/>
          <w:color w:val="2E5C8A"/>
          <w:sz w:val="20"/>
          <w:szCs w:val="20"/>
        </w:rPr>
        <w:t xml:space="preserve">4.6 Process Flows</w:t>
      </w:r>
    </w:p>
    <w:p>
      <w:pPr>
        <w:keepNext/>
        <w:keepLines/>
        <w:spacing w:after="30" w:before="0" w:line="250"/>
        <w:ind w:left="150" w:right="150"/>
        <w:jc w:val="left"/>
      </w:pPr>
      <w:r>
        <w:rPr>
          <w:rFonts w:ascii="Calibri" w:cs="Calibri" w:eastAsia="Calibri" w:hAnsi="Calibri"/>
          <w:b w:val="false"/>
          <w:bCs w:val="false"/>
          <w:color w:val="1E2430"/>
          <w:sz w:val="19"/>
          <w:szCs w:val="19"/>
        </w:rPr>
        <w:t xml:space="preserve">Figure 3 traces login and course enrollment, including the error and waitlist paths. Figure 4 shows how the roles hand work to each other during a typical academic cycle.</w:t>
      </w:r>
    </w:p>
    <w:p>
      <w:pPr>
        <w:keepLines/>
        <w:spacing w:after="60" w:before="50"/>
        <w:jc w:val="center"/>
      </w:pPr>
      <w:r>
        <w:drawing>
          <wp:inline distT="0" distB="0" distL="0" distR="0">
            <wp:extent cx="6096000" cy="3267075"/>
            <wp:effectExtent t="0" r="0" b="0" l="0"/>
            <wp:docPr id="1" name="fig3_flowchart" descr="fig3_flowchart" title="fig3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Srs9" cstate="none"/>
                    <a:srcRect/>
                    <a:stretch>
                      <a:fillRect/>
                    </a:stretch>
                  </pic:blipFill>
                  <pic:spPr bwMode="auto">
                    <a:xfrm>
                      <a:off x="0" y="0"/>
                      <a:ext cx="6096000" cy="3267075"/>
                    </a:xfrm>
                    <a:prstGeom prst="rect">
                      <a:avLst/>
                    </a:prstGeom>
                  </pic:spPr>
                </pic:pic>
              </a:graphicData>
            </a:graphic>
          </wp:inline>
        </w:drawing>
      </w:r>
    </w:p>
    <w:p>
      <w:pPr>
        <w:keepLines/>
        <w:spacing w:after="60" w:before="50"/>
        <w:jc w:val="center"/>
      </w:pPr>
      <w:r>
        <w:drawing>
          <wp:inline distT="0" distB="0" distL="0" distR="0">
            <wp:extent cx="6096000" cy="2867025"/>
            <wp:effectExtent t="0" r="0" b="0" l="0"/>
            <wp:docPr id="1" name="fig4_workflow" descr="fig4_workflow" title="fig4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Srs10" cstate="none"/>
                    <a:srcRect/>
                    <a:stretch>
                      <a:fillRect/>
                    </a:stretch>
                  </pic:blipFill>
                  <pic:spPr bwMode="auto">
                    <a:xfrm>
                      <a:off x="0" y="0"/>
                      <a:ext cx="6096000" cy="2867025"/>
                    </a:xfrm>
                    <a:prstGeom prst="rect">
                      <a:avLst/>
                    </a:prstGeom>
                  </pic:spPr>
                </pic:pic>
              </a:graphicData>
            </a:graphic>
          </wp:inline>
        </w:drawing>
      </w:r>
    </w:p>
    <w:p>
      <w:pPr>
        <w:keepNext/>
        <w:pBdr>
          <w:bottom w:val="single" w:color="C9A227" w:sz="8" w:space="2"/>
        </w:pBdr>
        <w:spacing w:after="70" w:before="150"/>
        <w:ind w:left="150" w:right="150"/>
        <w:outlineLvl w:val="0"/>
      </w:pPr>
      <w:r>
        <w:rPr>
          <w:rFonts w:ascii="Calibri" w:cs="Calibri" w:eastAsia="Calibri" w:hAnsi="Calibri"/>
          <w:b/>
          <w:bCs/>
          <w:color w:val="1B2A4A"/>
          <w:sz w:val="26"/>
          <w:szCs w:val="26"/>
        </w:rPr>
        <w:t xml:space="preserve">5.  Non-Functional Requirements</w:t>
      </w:r>
    </w:p>
    <w:tbl>
      <w:tblPr>
        <w:tblW w:type="dxa" w:w="10720"/>
        <w:tblInd w:type="dxa" w:w="150"/>
        <w:tblBorders>
          <w:top w:val="single" w:color="auto" w:sz="4"/>
          <w:left w:val="single" w:color="auto" w:sz="4"/>
          <w:bottom w:val="single" w:color="auto" w:sz="4"/>
          <w:right w:val="single" w:color="auto" w:sz="4"/>
          <w:insideH w:val="single" w:color="auto" w:sz="4"/>
          <w:insideV w:val="single" w:color="auto" w:sz="4"/>
        </w:tblBorders>
      </w:tblPr>
      <w:tblGrid>
        <w:gridCol w:w="1822"/>
        <w:gridCol w:w="5360"/>
        <w:gridCol w:w="3538"/>
      </w:tblGrid>
      <w:tr>
        <w:trPr>
          <w:cantSplit/>
          <w:tblHeader/>
        </w:trPr>
        <w:tc>
          <w:tcPr>
            <w:tcW w:type="dxa" w:w="1822"/>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Category</w:t>
            </w:r>
          </w:p>
        </w:tc>
        <w:tc>
          <w:tcPr>
            <w:tcW w:type="dxa" w:w="5360"/>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Requirement</w:t>
            </w:r>
          </w:p>
        </w:tc>
        <w:tc>
          <w:tcPr>
            <w:tcW w:type="dxa" w:w="3538"/>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Target</w:t>
            </w:r>
          </w:p>
        </w:tc>
      </w:tr>
      <w:tr>
        <w:trPr>
          <w:cantSplit/>
          <w:tblHeader w:val="false"/>
        </w:trPr>
        <w:tc>
          <w:tcPr>
            <w:tcW w:type="dxa" w:w="1822"/>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Performance</w:t>
            </w:r>
          </w:p>
        </w:tc>
        <w:tc>
          <w:tcPr>
            <w:tcW w:type="dxa" w:w="5360"/>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Search and list pages respond quickly under normal load</w:t>
            </w:r>
          </w:p>
        </w:tc>
        <w:tc>
          <w:tcPr>
            <w:tcW w:type="dxa" w:w="3538"/>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2 seconds or less with up to 500 concurrent users</w:t>
            </w:r>
          </w:p>
        </w:tc>
      </w:tr>
      <w:tr>
        <w:trPr>
          <w:cantSplit/>
          <w:tblHeader w:val="false"/>
        </w:trPr>
        <w:tc>
          <w:tcPr>
            <w:tcW w:type="dxa" w:w="1822"/>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Security</w:t>
            </w:r>
          </w:p>
        </w:tc>
        <w:tc>
          <w:tcPr>
            <w:tcW w:type="dxa" w:w="5360"/>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Salted, industry-standard password hashing (e.g. bcrypt); idle sessions expire</w:t>
            </w:r>
          </w:p>
        </w:tc>
        <w:tc>
          <w:tcPr>
            <w:tcW w:type="dxa" w:w="3538"/>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Configurable timeout; TLS 1.2+</w:t>
            </w:r>
          </w:p>
        </w:tc>
      </w:tr>
      <w:tr>
        <w:trPr>
          <w:cantSplit/>
          <w:tblHeader w:val="false"/>
        </w:trPr>
        <w:tc>
          <w:tcPr>
            <w:tcW w:type="dxa" w:w="1822"/>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Reliability</w:t>
            </w:r>
          </w:p>
        </w:tc>
        <w:tc>
          <w:tcPr>
            <w:tcW w:type="dxa" w:w="5360"/>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System is available throughout the academic term</w:t>
            </w:r>
          </w:p>
        </w:tc>
        <w:tc>
          <w:tcPr>
            <w:tcW w:type="dxa" w:w="3538"/>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99.5% uptime excluding planned maintenance</w:t>
            </w:r>
          </w:p>
        </w:tc>
      </w:tr>
      <w:tr>
        <w:trPr>
          <w:cantSplit/>
          <w:tblHeader w:val="false"/>
        </w:trPr>
        <w:tc>
          <w:tcPr>
            <w:tcW w:type="dxa" w:w="1822"/>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Usability</w:t>
            </w:r>
          </w:p>
        </w:tc>
        <w:tc>
          <w:tcPr>
            <w:tcW w:type="dxa" w:w="5360"/>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A first-time user completes an enrollment without outside help</w:t>
            </w:r>
          </w:p>
        </w:tc>
        <w:tc>
          <w:tcPr>
            <w:tcW w:type="dxa" w:w="3538"/>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5 minutes or less</w:t>
            </w:r>
          </w:p>
        </w:tc>
      </w:tr>
      <w:tr>
        <w:trPr>
          <w:cantSplit/>
          <w:tblHeader w:val="false"/>
        </w:trPr>
        <w:tc>
          <w:tcPr>
            <w:tcW w:type="dxa" w:w="1822"/>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Maintainability</w:t>
            </w:r>
          </w:p>
        </w:tc>
        <w:tc>
          <w:tcPr>
            <w:tcW w:type="dxa" w:w="5360"/>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Modular code so each module can be updated independently</w:t>
            </w:r>
          </w:p>
        </w:tc>
        <w:tc>
          <w:tcPr>
            <w:tcW w:type="dxa" w:w="3538"/>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No change to other modules</w:t>
            </w:r>
          </w:p>
        </w:tc>
      </w:tr>
      <w:tr>
        <w:trPr>
          <w:cantSplit/>
          <w:tblHeader w:val="false"/>
        </w:trPr>
        <w:tc>
          <w:tcPr>
            <w:tcW w:type="dxa" w:w="1822"/>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Scalability</w:t>
            </w:r>
          </w:p>
        </w:tc>
        <w:tc>
          <w:tcPr>
            <w:tcW w:type="dxa" w:w="5360"/>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Application tier scales horizontally as load grows</w:t>
            </w:r>
          </w:p>
        </w:tc>
        <w:tc>
          <w:tcPr>
            <w:tcW w:type="dxa" w:w="3538"/>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Add servers without redesign</w:t>
            </w:r>
          </w:p>
        </w:tc>
      </w:tr>
    </w:tbl>
    <w:p>
      <w:pPr>
        <w:keepNext/>
        <w:pBdr>
          <w:bottom w:val="single" w:color="C9A227" w:sz="8" w:space="2"/>
        </w:pBdr>
        <w:spacing w:after="70" w:before="150"/>
        <w:ind w:left="150" w:right="150"/>
        <w:outlineLvl w:val="0"/>
      </w:pPr>
      <w:r>
        <w:rPr>
          <w:rFonts w:ascii="Calibri" w:cs="Calibri" w:eastAsia="Calibri" w:hAnsi="Calibri"/>
          <w:b/>
          <w:bCs/>
          <w:color w:val="1B2A4A"/>
          <w:sz w:val="26"/>
          <w:szCs w:val="26"/>
        </w:rPr>
        <w:t xml:space="preserve">6.  External Interface Requirements</w:t>
      </w:r>
    </w:p>
    <w:p>
      <w:pPr>
        <w:keepLines/>
        <w:spacing w:after="60" w:before="50"/>
        <w:jc w:val="center"/>
      </w:pPr>
      <w:r>
        <w:drawing>
          <wp:inline distT="0" distB="0" distL="0" distR="0">
            <wp:extent cx="5715000" cy="2790825"/>
            <wp:effectExtent t="0" r="0" b="0" l="0"/>
            <wp:docPr id="1" name="fig5_interfaces" descr="fig5_interfaces" title="fig5_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Srs11" cstate="none"/>
                    <a:srcRect/>
                    <a:stretch>
                      <a:fillRect/>
                    </a:stretch>
                  </pic:blipFill>
                  <pic:spPr bwMode="auto">
                    <a:xfrm>
                      <a:off x="0" y="0"/>
                      <a:ext cx="5715000" cy="2790825"/>
                    </a:xfrm>
                    <a:prstGeom prst="rect">
                      <a:avLst/>
                    </a:prstGeom>
                  </pic:spPr>
                </pic:pic>
              </a:graphicData>
            </a:graphic>
          </wp:inline>
        </w:drawing>
      </w:r>
    </w:p>
    <w:tbl>
      <w:tblPr>
        <w:tblW w:type="dxa" w:w="10720"/>
        <w:tblInd w:type="dxa" w:w="150"/>
        <w:tblBorders>
          <w:top w:val="single" w:color="auto" w:sz="4"/>
          <w:left w:val="single" w:color="auto" w:sz="4"/>
          <w:bottom w:val="single" w:color="auto" w:sz="4"/>
          <w:right w:val="single" w:color="auto" w:sz="4"/>
          <w:insideH w:val="single" w:color="auto" w:sz="4"/>
          <w:insideV w:val="single" w:color="auto" w:sz="4"/>
        </w:tblBorders>
      </w:tblPr>
      <w:tblGrid>
        <w:gridCol w:w="2144"/>
        <w:gridCol w:w="8576"/>
      </w:tblGrid>
      <w:tr>
        <w:trPr>
          <w:cantSplit/>
          <w:tblHeader/>
        </w:trPr>
        <w:tc>
          <w:tcPr>
            <w:tcW w:type="dxa" w:w="2144"/>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Interface</w:t>
            </w:r>
          </w:p>
        </w:tc>
        <w:tc>
          <w:tcPr>
            <w:tcW w:type="dxa" w:w="8576"/>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Requirement</w:t>
            </w:r>
          </w:p>
        </w:tc>
      </w:tr>
      <w:tr>
        <w:trPr>
          <w:cantSplit/>
          <w:tblHeader w:val="false"/>
        </w:trPr>
        <w:tc>
          <w:tcPr>
            <w:tcW w:type="dxa" w:w="2144"/>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6.1 User</w:t>
            </w:r>
          </w:p>
        </w:tc>
        <w:tc>
          <w:tcPr>
            <w:tcW w:type="dxa" w:w="857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Responsive web UI with separate Student, Faculty and Admin dashboards; consistent navigation, accessible colour contrast and validation on every form</w:t>
            </w:r>
          </w:p>
        </w:tc>
      </w:tr>
      <w:tr>
        <w:trPr>
          <w:cantSplit/>
          <w:tblHeader w:val="false"/>
        </w:trPr>
        <w:tc>
          <w:tcPr>
            <w:tcW w:type="dxa" w:w="2144"/>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6.2 Hardware</w:t>
            </w:r>
          </w:p>
        </w:tc>
        <w:tc>
          <w:tcPr>
            <w:tcW w:type="dxa" w:w="857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No special hardware; any desktop, laptop, tablet or phone with a modern browser</w:t>
            </w:r>
          </w:p>
        </w:tc>
      </w:tr>
      <w:tr>
        <w:trPr>
          <w:cantSplit/>
          <w:tblHeader w:val="false"/>
        </w:trPr>
        <w:tc>
          <w:tcPr>
            <w:tcW w:type="dxa" w:w="2144"/>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6.3 Software</w:t>
            </w:r>
          </w:p>
        </w:tc>
        <w:tc>
          <w:tcPr>
            <w:tcW w:type="dxa" w:w="857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REST API (JSON over HTTPS) between client and server; relational database accessed through an ORM with connection pooling</w:t>
            </w:r>
          </w:p>
        </w:tc>
      </w:tr>
      <w:tr>
        <w:trPr>
          <w:cantSplit/>
          <w:tblHeader w:val="false"/>
        </w:trPr>
        <w:tc>
          <w:tcPr>
            <w:tcW w:type="dxa" w:w="2144"/>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6.4 Communications</w:t>
            </w:r>
          </w:p>
        </w:tc>
        <w:tc>
          <w:tcPr>
            <w:tcW w:type="dxa" w:w="857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HTTPS with TLS 1.2 or higher for all traffic; SMTP and SMS gateway integration for outbound notifications</w:t>
            </w:r>
          </w:p>
        </w:tc>
      </w:tr>
    </w:tbl>
    <w:p>
      <w:pPr>
        <w:keepNext/>
        <w:pBdr>
          <w:bottom w:val="single" w:color="C9A227" w:sz="8" w:space="2"/>
        </w:pBdr>
        <w:spacing w:after="70" w:before="150"/>
        <w:ind w:left="150" w:right="150"/>
        <w:outlineLvl w:val="0"/>
      </w:pPr>
      <w:r>
        <w:rPr>
          <w:rFonts w:ascii="Calibri" w:cs="Calibri" w:eastAsia="Calibri" w:hAnsi="Calibri"/>
          <w:b/>
          <w:bCs/>
          <w:color w:val="1B2A4A"/>
          <w:sz w:val="26"/>
          <w:szCs w:val="26"/>
        </w:rPr>
        <w:t xml:space="preserve">7.  Data Model</w:t>
      </w:r>
    </w:p>
    <w:p>
      <w:pPr>
        <w:keepNext/>
        <w:keepLines/>
        <w:spacing w:after="30" w:before="0" w:line="250"/>
        <w:ind w:left="150" w:right="150"/>
        <w:jc w:val="left"/>
      </w:pPr>
      <w:r>
        <w:rPr>
          <w:rFonts w:ascii="Calibri" w:cs="Calibri" w:eastAsia="Calibri" w:hAnsi="Calibri"/>
          <w:b w:val="false"/>
          <w:bCs w:val="false"/>
          <w:color w:val="1E2430"/>
          <w:sz w:val="19"/>
          <w:szCs w:val="19"/>
        </w:rPr>
        <w:t xml:space="preserve">Figure 6 gives the database schema (entities, keys and relationships). Figure 7 shows the same domain as classes: Student, Faculty and Administrator inherit login behaviour from the abstract User class.</w:t>
      </w:r>
    </w:p>
    <w:p>
      <w:pPr>
        <w:keepLines/>
        <w:spacing w:after="60" w:before="50"/>
        <w:jc w:val="center"/>
      </w:pPr>
      <w:r>
        <w:drawing>
          <wp:inline distT="0" distB="0" distL="0" distR="0">
            <wp:extent cx="5905500" cy="3562350"/>
            <wp:effectExtent t="0" r="0" b="0" l="0"/>
            <wp:docPr id="1" name="fig6_er_diagram" descr="fig6_er_diagram" title="fig6_er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Srs12" cstate="none"/>
                    <a:srcRect/>
                    <a:stretch>
                      <a:fillRect/>
                    </a:stretch>
                  </pic:blipFill>
                  <pic:spPr bwMode="auto">
                    <a:xfrm>
                      <a:off x="0" y="0"/>
                      <a:ext cx="5905500" cy="3562350"/>
                    </a:xfrm>
                    <a:prstGeom prst="rect">
                      <a:avLst/>
                    </a:prstGeom>
                  </pic:spPr>
                </pic:pic>
              </a:graphicData>
            </a:graphic>
          </wp:inline>
        </w:drawing>
      </w:r>
    </w:p>
    <w:p>
      <w:pPr>
        <w:keepLines/>
        <w:tabs>
          <w:tab w:val="left" w:pos="450"/>
        </w:tabs>
        <w:spacing w:after="30" w:line="250"/>
        <w:ind w:left="450" w:right="150" w:hanging="200"/>
      </w:pPr>
      <w:r>
        <w:rPr>
          <w:rFonts w:ascii="Calibri" w:cs="Calibri" w:eastAsia="Calibri" w:hAnsi="Calibri"/>
          <w:b/>
          <w:bCs/>
          <w:color w:val="2E5C8A"/>
          <w:sz w:val="19"/>
          <w:szCs w:val="19"/>
        </w:rPr>
        <w:t xml:space="preserve">•	</w:t>
      </w:r>
      <w:r>
        <w:rPr>
          <w:rFonts w:ascii="Calibri" w:cs="Calibri" w:eastAsia="Calibri" w:hAnsi="Calibri"/>
          <w:b w:val="false"/>
          <w:bCs w:val="false"/>
          <w:color w:val="1E2430"/>
          <w:sz w:val="19"/>
          <w:szCs w:val="19"/>
        </w:rPr>
        <w:t xml:space="preserve">Students and faculty each belong to one department; every course is taught by one faculty member.</w:t>
      </w:r>
    </w:p>
    <w:p>
      <w:pPr>
        <w:keepLines/>
        <w:tabs>
          <w:tab w:val="left" w:pos="450"/>
        </w:tabs>
        <w:spacing w:after="30" w:line="250"/>
        <w:ind w:left="450" w:right="150" w:hanging="200"/>
      </w:pPr>
      <w:r>
        <w:rPr>
          <w:rFonts w:ascii="Calibri" w:cs="Calibri" w:eastAsia="Calibri" w:hAnsi="Calibri"/>
          <w:b/>
          <w:bCs/>
          <w:color w:val="2E5C8A"/>
          <w:sz w:val="19"/>
          <w:szCs w:val="19"/>
        </w:rPr>
        <w:t xml:space="preserve">•	</w:t>
      </w:r>
      <w:r>
        <w:rPr>
          <w:rFonts w:ascii="Calibri" w:cs="Calibri" w:eastAsia="Calibri" w:hAnsi="Calibri"/>
          <w:b w:val="false"/>
          <w:bCs w:val="false"/>
          <w:color w:val="1E2430"/>
          <w:sz w:val="19"/>
          <w:szCs w:val="19"/>
        </w:rPr>
        <w:t xml:space="preserve">An enrollment links one student to one course; </w:t>
      </w:r>
      <w:r>
        <w:rPr>
          <w:rFonts w:ascii="Calibri" w:cs="Calibri" w:eastAsia="Calibri" w:hAnsi="Calibri"/>
          <w:b/>
          <w:bCs/>
          <w:color w:val="1E2430"/>
          <w:sz w:val="19"/>
          <w:szCs w:val="19"/>
        </w:rPr>
        <w:t xml:space="preserve">Course.Seats</w:t>
      </w:r>
      <w:r>
        <w:rPr>
          <w:rFonts w:ascii="Calibri" w:cs="Calibri" w:eastAsia="Calibri" w:hAnsi="Calibri"/>
          <w:b w:val="false"/>
          <w:bCs w:val="false"/>
          <w:color w:val="1E2430"/>
          <w:sz w:val="19"/>
          <w:szCs w:val="19"/>
        </w:rPr>
        <w:t xml:space="preserve"> drops as students enroll and a waitlist applies at zero.</w:t>
      </w:r>
    </w:p>
    <w:p>
      <w:pPr>
        <w:keepLines/>
        <w:tabs>
          <w:tab w:val="left" w:pos="450"/>
        </w:tabs>
        <w:spacing w:after="30" w:line="250"/>
        <w:ind w:left="450" w:right="150" w:hanging="200"/>
      </w:pPr>
      <w:r>
        <w:rPr>
          <w:rFonts w:ascii="Calibri" w:cs="Calibri" w:eastAsia="Calibri" w:hAnsi="Calibri"/>
          <w:b/>
          <w:bCs/>
          <w:color w:val="2E5C8A"/>
          <w:sz w:val="19"/>
          <w:szCs w:val="19"/>
        </w:rPr>
        <w:t xml:space="preserve">•	</w:t>
      </w:r>
      <w:r>
        <w:rPr>
          <w:rFonts w:ascii="Calibri" w:cs="Calibri" w:eastAsia="Calibri" w:hAnsi="Calibri"/>
          <w:b w:val="false"/>
          <w:bCs w:val="false"/>
          <w:color w:val="1E2430"/>
          <w:sz w:val="19"/>
          <w:szCs w:val="19"/>
        </w:rPr>
        <w:t xml:space="preserve">Attendance and fee records always reference a student; attendance also references the course.</w:t>
      </w:r>
    </w:p>
    <w:p>
      <w:pPr>
        <w:keepLines/>
        <w:spacing w:after="60" w:before="50"/>
        <w:jc w:val="center"/>
      </w:pPr>
      <w:r>
        <w:drawing>
          <wp:inline distT="0" distB="0" distL="0" distR="0">
            <wp:extent cx="5715000" cy="4438650"/>
            <wp:effectExtent t="0" r="0" b="0" l="0"/>
            <wp:docPr id="1" name="fig7_class_diagram" descr="fig7_class_diagram" title="fig7_class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Srs13" cstate="none"/>
                    <a:srcRect/>
                    <a:stretch>
                      <a:fillRect/>
                    </a:stretch>
                  </pic:blipFill>
                  <pic:spPr bwMode="auto">
                    <a:xfrm>
                      <a:off x="0" y="0"/>
                      <a:ext cx="5715000" cy="4438650"/>
                    </a:xfrm>
                    <a:prstGeom prst="rect">
                      <a:avLst/>
                    </a:prstGeom>
                  </pic:spPr>
                </pic:pic>
              </a:graphicData>
            </a:graphic>
          </wp:inline>
        </w:drawing>
      </w:r>
    </w:p>
    <w:p>
      <w:pPr>
        <w:keepNext/>
        <w:pBdr>
          <w:bottom w:val="single" w:color="C9A227" w:sz="8" w:space="2"/>
        </w:pBdr>
        <w:spacing w:after="70" w:before="150"/>
        <w:ind w:left="150" w:right="150"/>
        <w:outlineLvl w:val="0"/>
      </w:pPr>
      <w:r>
        <w:rPr>
          <w:rFonts w:ascii="Calibri" w:cs="Calibri" w:eastAsia="Calibri" w:hAnsi="Calibri"/>
          <w:b/>
          <w:bCs/>
          <w:color w:val="1B2A4A"/>
          <w:sz w:val="26"/>
          <w:szCs w:val="26"/>
        </w:rPr>
        <w:t xml:space="preserve">8.  Appendix</w:t>
      </w:r>
    </w:p>
    <w:p>
      <w:pPr>
        <w:keepNext/>
        <w:spacing w:after="40" w:before="90"/>
        <w:ind w:left="150" w:right="150"/>
        <w:outlineLvl w:val="1"/>
      </w:pPr>
      <w:r>
        <w:rPr>
          <w:rFonts w:ascii="Calibri" w:cs="Calibri" w:eastAsia="Calibri" w:hAnsi="Calibri"/>
          <w:b/>
          <w:bCs/>
          <w:color w:val="2E5C8A"/>
          <w:sz w:val="20"/>
          <w:szCs w:val="20"/>
        </w:rPr>
        <w:t xml:space="preserve">8.1 Requirements Traceability</w:t>
      </w:r>
    </w:p>
    <w:tbl>
      <w:tblPr>
        <w:tblW w:type="dxa" w:w="10720"/>
        <w:tblInd w:type="dxa" w:w="150"/>
        <w:tblBorders>
          <w:top w:val="single" w:color="auto" w:sz="4"/>
          <w:left w:val="single" w:color="auto" w:sz="4"/>
          <w:bottom w:val="single" w:color="auto" w:sz="4"/>
          <w:right w:val="single" w:color="auto" w:sz="4"/>
          <w:insideH w:val="single" w:color="auto" w:sz="4"/>
          <w:insideV w:val="single" w:color="auto" w:sz="4"/>
        </w:tblBorders>
      </w:tblPr>
      <w:tblGrid>
        <w:gridCol w:w="2144"/>
        <w:gridCol w:w="1501"/>
        <w:gridCol w:w="4074"/>
        <w:gridCol w:w="3001"/>
      </w:tblGrid>
      <w:tr>
        <w:trPr>
          <w:cantSplit/>
          <w:tblHeader/>
        </w:trPr>
        <w:tc>
          <w:tcPr>
            <w:tcW w:type="dxa" w:w="2144"/>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Module</w:t>
            </w:r>
          </w:p>
        </w:tc>
        <w:tc>
          <w:tcPr>
            <w:tcW w:type="dxa" w:w="1501"/>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Requirements</w:t>
            </w:r>
          </w:p>
        </w:tc>
        <w:tc>
          <w:tcPr>
            <w:tcW w:type="dxa" w:w="4074"/>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Use cases (Figure 1)</w:t>
            </w:r>
          </w:p>
        </w:tc>
        <w:tc>
          <w:tcPr>
            <w:tcW w:type="dxa" w:w="3001"/>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Data entities (Figure 6)</w:t>
            </w:r>
          </w:p>
        </w:tc>
      </w:tr>
      <w:tr>
        <w:trPr>
          <w:cantSplit/>
          <w:tblHeader w:val="false"/>
        </w:trPr>
        <w:tc>
          <w:tcPr>
            <w:tcW w:type="dxa" w:w="2144"/>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Authentication &amp; Access</w:t>
            </w:r>
          </w:p>
        </w:tc>
        <w:tc>
          <w:tcPr>
            <w:tcW w:type="dxa" w:w="1501"/>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FR-1.1 to 1.3</w:t>
            </w:r>
          </w:p>
        </w:tc>
        <w:tc>
          <w:tcPr>
            <w:tcW w:type="dxa" w:w="4074"/>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Login check for every use case</w:t>
            </w:r>
          </w:p>
        </w:tc>
        <w:tc>
          <w:tcPr>
            <w:tcW w:type="dxa" w:w="3001"/>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Student, Faculty</w:t>
            </w:r>
          </w:p>
        </w:tc>
      </w:tr>
      <w:tr>
        <w:trPr>
          <w:cantSplit/>
          <w:tblHeader w:val="false"/>
        </w:trPr>
        <w:tc>
          <w:tcPr>
            <w:tcW w:type="dxa" w:w="2144"/>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Student Records</w:t>
            </w:r>
          </w:p>
        </w:tc>
        <w:tc>
          <w:tcPr>
            <w:tcW w:type="dxa" w:w="1501"/>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FR-2.1 to 2.3</w:t>
            </w:r>
          </w:p>
        </w:tc>
        <w:tc>
          <w:tcPr>
            <w:tcW w:type="dxa" w:w="4074"/>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Update Profile, Manage Users</w:t>
            </w:r>
          </w:p>
        </w:tc>
        <w:tc>
          <w:tcPr>
            <w:tcW w:type="dxa" w:w="3001"/>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Student, Department</w:t>
            </w:r>
          </w:p>
        </w:tc>
      </w:tr>
      <w:tr>
        <w:trPr>
          <w:cantSplit/>
          <w:tblHeader w:val="false"/>
        </w:trPr>
        <w:tc>
          <w:tcPr>
            <w:tcW w:type="dxa" w:w="2144"/>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Course Enrollment</w:t>
            </w:r>
          </w:p>
        </w:tc>
        <w:tc>
          <w:tcPr>
            <w:tcW w:type="dxa" w:w="1501"/>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FR-3.1 to 3.3</w:t>
            </w:r>
          </w:p>
        </w:tc>
        <w:tc>
          <w:tcPr>
            <w:tcW w:type="dxa" w:w="4074"/>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Browse &amp; Enroll in Courses</w:t>
            </w:r>
          </w:p>
        </w:tc>
        <w:tc>
          <w:tcPr>
            <w:tcW w:type="dxa" w:w="3001"/>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Course, Enrollment, Faculty</w:t>
            </w:r>
          </w:p>
        </w:tc>
      </w:tr>
      <w:tr>
        <w:trPr>
          <w:cantSplit/>
          <w:tblHeader w:val="false"/>
        </w:trPr>
        <w:tc>
          <w:tcPr>
            <w:tcW w:type="dxa" w:w="2144"/>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Attendance &amp; Grading</w:t>
            </w:r>
          </w:p>
        </w:tc>
        <w:tc>
          <w:tcPr>
            <w:tcW w:type="dxa" w:w="1501"/>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FR-4.1 to 4.3</w:t>
            </w:r>
          </w:p>
        </w:tc>
        <w:tc>
          <w:tcPr>
            <w:tcW w:type="dxa" w:w="4074"/>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Mark Attendance, Enter Grades, View Attendance, View Grades</w:t>
            </w:r>
          </w:p>
        </w:tc>
        <w:tc>
          <w:tcPr>
            <w:tcW w:type="dxa" w:w="3001"/>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Attendance, Enrollment</w:t>
            </w:r>
          </w:p>
        </w:tc>
      </w:tr>
      <w:tr>
        <w:trPr>
          <w:cantSplit/>
          <w:tblHeader w:val="false"/>
        </w:trPr>
        <w:tc>
          <w:tcPr>
            <w:tcW w:type="dxa" w:w="2144"/>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Fees &amp; Notifications</w:t>
            </w:r>
          </w:p>
        </w:tc>
        <w:tc>
          <w:tcPr>
            <w:tcW w:type="dxa" w:w="1501"/>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FR-5.1 to 5.3</w:t>
            </w:r>
          </w:p>
        </w:tc>
        <w:tc>
          <w:tcPr>
            <w:tcW w:type="dxa" w:w="4074"/>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Pay Fees Online, Broadcast Notices</w:t>
            </w:r>
          </w:p>
        </w:tc>
        <w:tc>
          <w:tcPr>
            <w:tcW w:type="dxa" w:w="3001"/>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Fee</w:t>
            </w:r>
          </w:p>
        </w:tc>
      </w:tr>
    </w:tbl>
    <w:p>
      <w:pPr>
        <w:keepNext/>
        <w:spacing w:after="40" w:before="90"/>
        <w:ind w:left="150" w:right="150"/>
        <w:outlineLvl w:val="1"/>
      </w:pPr>
      <w:r>
        <w:rPr>
          <w:rFonts w:ascii="Calibri" w:cs="Calibri" w:eastAsia="Calibri" w:hAnsi="Calibri"/>
          <w:b/>
          <w:bCs/>
          <w:color w:val="2E5C8A"/>
          <w:sz w:val="20"/>
          <w:szCs w:val="20"/>
        </w:rPr>
        <w:t xml:space="preserve">8.2 Document Approval</w:t>
      </w:r>
    </w:p>
    <w:tbl>
      <w:tblPr>
        <w:tblW w:type="dxa" w:w="10720"/>
        <w:tblInd w:type="dxa" w:w="150"/>
        <w:tblBorders>
          <w:top w:val="single" w:color="auto" w:sz="4"/>
          <w:left w:val="single" w:color="auto" w:sz="4"/>
          <w:bottom w:val="single" w:color="auto" w:sz="4"/>
          <w:right w:val="single" w:color="auto" w:sz="4"/>
          <w:insideH w:val="single" w:color="auto" w:sz="4"/>
          <w:insideV w:val="single" w:color="auto" w:sz="4"/>
        </w:tblBorders>
      </w:tblPr>
      <w:tblGrid>
        <w:gridCol w:w="3216"/>
        <w:gridCol w:w="4288"/>
        <w:gridCol w:w="3216"/>
      </w:tblGrid>
      <w:tr>
        <w:trPr>
          <w:cantSplit/>
          <w:tblHeader/>
        </w:trPr>
        <w:tc>
          <w:tcPr>
            <w:tcW w:type="dxa" w:w="3216"/>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Role</w:t>
            </w:r>
          </w:p>
        </w:tc>
        <w:tc>
          <w:tcPr>
            <w:tcW w:type="dxa" w:w="4288"/>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Name</w:t>
            </w:r>
          </w:p>
        </w:tc>
        <w:tc>
          <w:tcPr>
            <w:tcW w:type="dxa" w:w="3216"/>
            <w:tcBorders>
              <w:top w:val="single" w:color="C9D1DC" w:sz="4"/>
              <w:left w:val="single" w:color="C9D1DC" w:sz="4"/>
              <w:bottom w:val="single" w:color="C9D1DC" w:sz="4"/>
              <w:right w:val="single" w:color="C9D1DC" w:sz="4"/>
            </w:tcBorders>
            <w:shd w:fill="1B2A4A"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FFFFFF"/>
                <w:sz w:val="17"/>
                <w:szCs w:val="17"/>
              </w:rPr>
              <w:t xml:space="preserve">Signature / Date</w:t>
            </w:r>
          </w:p>
        </w:tc>
      </w:tr>
      <w:tr>
        <w:trPr>
          <w:cantSplit/>
          <w:tblHeader w:val="false"/>
        </w:trPr>
        <w:tc>
          <w:tcPr>
            <w:tcW w:type="dxa" w:w="3216"/>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Course Instructor</w:t>
            </w:r>
          </w:p>
        </w:tc>
        <w:tc>
          <w:tcPr>
            <w:tcW w:type="dxa" w:w="4288"/>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Ravi Kumar</w:t>
            </w:r>
          </w:p>
        </w:tc>
        <w:tc>
          <w:tcPr>
            <w:tcW w:type="dxa" w:w="321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
            </w:r>
          </w:p>
        </w:tc>
      </w:tr>
      <w:tr>
        <w:trPr>
          <w:cantSplit/>
          <w:tblHeader w:val="false"/>
        </w:trPr>
        <w:tc>
          <w:tcPr>
            <w:tcW w:type="dxa" w:w="3216"/>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keepLines/>
              <w:spacing w:after="0" w:line="240"/>
              <w:jc w:val="left"/>
            </w:pPr>
            <w:r>
              <w:rPr>
                <w:rFonts w:ascii="Calibri" w:cs="Calibri" w:eastAsia="Calibri" w:hAnsi="Calibri"/>
                <w:b/>
                <w:bCs/>
                <w:color w:val="1B2A4A"/>
                <w:sz w:val="17"/>
                <w:szCs w:val="17"/>
              </w:rPr>
              <w:t xml:space="preserve">Team Lead</w:t>
            </w:r>
          </w:p>
        </w:tc>
        <w:tc>
          <w:tcPr>
            <w:tcW w:type="dxa" w:w="4288"/>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
            </w:r>
          </w:p>
        </w:tc>
        <w:tc>
          <w:tcPr>
            <w:tcW w:type="dxa" w:w="321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keepLines/>
              <w:spacing w:after="0" w:line="240"/>
              <w:jc w:val="left"/>
            </w:pPr>
            <w:r>
              <w:rPr>
                <w:rFonts w:ascii="Calibri" w:cs="Calibri" w:eastAsia="Calibri" w:hAnsi="Calibri"/>
                <w:b w:val="false"/>
                <w:bCs w:val="false"/>
                <w:color w:val="1E2430"/>
                <w:sz w:val="17"/>
                <w:szCs w:val="17"/>
              </w:rPr>
              <w:t xml:space="preserve"/>
            </w:r>
          </w:p>
        </w:tc>
      </w:tr>
      <w:tr>
        <w:trPr>
          <w:cantSplit/>
          <w:tblHeader w:val="false"/>
        </w:trPr>
        <w:tc>
          <w:tcPr>
            <w:tcW w:type="dxa" w:w="3216"/>
            <w:tcBorders>
              <w:top w:val="single" w:color="C9D1DC" w:sz="4"/>
              <w:left w:val="single" w:color="C9D1DC" w:sz="4"/>
              <w:bottom w:val="single" w:color="C9D1DC" w:sz="4"/>
              <w:right w:val="single" w:color="C9D1DC" w:sz="4"/>
            </w:tcBorders>
            <w:shd w:fill="F3F5F8" w:color="auto" w:val="clear"/>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bCs/>
                <w:color w:val="1B2A4A"/>
                <w:sz w:val="17"/>
                <w:szCs w:val="17"/>
              </w:rPr>
              <w:t xml:space="preserve">Reviewer</w:t>
            </w:r>
          </w:p>
        </w:tc>
        <w:tc>
          <w:tcPr>
            <w:tcW w:type="dxa" w:w="4288"/>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
            </w:r>
          </w:p>
        </w:tc>
        <w:tc>
          <w:tcPr>
            <w:tcW w:type="dxa" w:w="3216"/>
            <w:tcBorders>
              <w:top w:val="single" w:color="C9D1DC" w:sz="4"/>
              <w:left w:val="single" w:color="C9D1DC" w:sz="4"/>
              <w:bottom w:val="single" w:color="C9D1DC" w:sz="4"/>
              <w:right w:val="single" w:color="C9D1DC" w:sz="4"/>
            </w:tcBorders>
            <w:tcMar>
              <w:top w:type="dxa" w:w="45"/>
              <w:left w:type="dxa" w:w="90"/>
              <w:bottom w:type="dxa" w:w="45"/>
              <w:right w:type="dxa" w:w="90"/>
            </w:tcMar>
            <w:vAlign w:val="center"/>
          </w:tcPr>
          <w:p>
            <w:pPr>
              <w:keepNext w:val="false"/>
              <w:keepLines/>
              <w:spacing w:after="0" w:line="240"/>
              <w:jc w:val="left"/>
            </w:pPr>
            <w:r>
              <w:rPr>
                <w:rFonts w:ascii="Calibri" w:cs="Calibri" w:eastAsia="Calibri" w:hAnsi="Calibri"/>
                <w:b w:val="false"/>
                <w:bCs w:val="false"/>
                <w:color w:val="1E2430"/>
                <w:sz w:val="17"/>
                <w:szCs w:val="17"/>
              </w:rPr>
              <w:t xml:space="preserve"/>
            </w:r>
          </w:p>
        </w:tc>
      </w:tr>
    </w:tbl>
    <w:sectPr>
      <w:pgSz w:w="12240" w:h="15840"/>
      <w:pgMar w:top="900" w:right="600" w:bottom="800" w:left="620" w:header="720" w:footer="720"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17"/>
    <w:rsid w:val="000861F8"/>
    <w:rsid w:val="00115883"/>
    <w:rsid w:val="001F0ADC"/>
    <w:rsid w:val="002F7650"/>
    <w:rsid w:val="0031633E"/>
    <w:rsid w:val="004811A8"/>
    <w:rsid w:val="00853A17"/>
    <w:rsid w:val="00A21D09"/>
    <w:rsid w:val="00B07E41"/>
    <w:rsid w:val="00B86817"/>
    <w:rsid w:val="00D03D16"/>
    <w:rsid w:val="00D5108C"/>
    <w:rsid w:val="00F5489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1BDDD"/>
  <w15:docId w15:val="{0597D801-8F36-4F5B-AA98-DF5AF42DB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6817"/>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86817"/>
    <w:pPr>
      <w:spacing w:before="22"/>
    </w:pPr>
  </w:style>
  <w:style w:type="paragraph" w:styleId="Title">
    <w:name w:val="Title"/>
    <w:basedOn w:val="Normal"/>
    <w:uiPriority w:val="1"/>
    <w:qFormat/>
    <w:rsid w:val="00B86817"/>
    <w:pPr>
      <w:spacing w:before="10"/>
      <w:ind w:left="252" w:right="273"/>
      <w:jc w:val="center"/>
    </w:pPr>
    <w:rPr>
      <w:b/>
      <w:bCs/>
      <w:sz w:val="44"/>
      <w:szCs w:val="44"/>
    </w:rPr>
  </w:style>
  <w:style w:type="paragraph" w:styleId="ListParagraph">
    <w:name w:val="List Paragraph"/>
    <w:basedOn w:val="Normal"/>
    <w:uiPriority w:val="1"/>
    <w:qFormat/>
    <w:rsid w:val="00B86817"/>
  </w:style>
  <w:style w:type="paragraph" w:customStyle="1" w:styleId="TableParagraph">
    <w:name w:val="Table Paragraph"/>
    <w:basedOn w:val="Normal"/>
    <w:uiPriority w:val="1"/>
    <w:qFormat/>
    <w:rsid w:val="00B86817"/>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F7650"/>
    <w:rPr>
      <w:rFonts w:ascii="Tahoma" w:hAnsi="Tahoma" w:cs="Tahoma"/>
      <w:sz w:val="16"/>
      <w:szCs w:val="16"/>
    </w:rPr>
  </w:style>
  <w:style w:type="character" w:customStyle="1" w:styleId="BalloonTextChar">
    <w:name w:val="Balloon Text Char"/>
    <w:basedOn w:val="DefaultParagraphFont"/>
    <w:link w:val="BalloonText"/>
    <w:uiPriority w:val="99"/>
    <w:semiHidden/>
    <w:rsid w:val="002F7650"/>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Srs7" Type="http://schemas.openxmlformats.org/officeDocument/2006/relationships/image" Target="media/srs_7.png"/><Relationship Id="rIdSrs8" Type="http://schemas.openxmlformats.org/officeDocument/2006/relationships/image" Target="media/srs_8.png"/><Relationship Id="rIdSrs9" Type="http://schemas.openxmlformats.org/officeDocument/2006/relationships/image" Target="media/srs_9.png"/><Relationship Id="rIdSrs10" Type="http://schemas.openxmlformats.org/officeDocument/2006/relationships/image" Target="media/srs_10.png"/><Relationship Id="rIdSrs11" Type="http://schemas.openxmlformats.org/officeDocument/2006/relationships/image" Target="media/srs_11.png"/><Relationship Id="rIdSrs12" Type="http://schemas.openxmlformats.org/officeDocument/2006/relationships/image" Target="media/srs_12.png"/><Relationship Id="rIdSrs13" Type="http://schemas.openxmlformats.org/officeDocument/2006/relationships/image" Target="media/srs_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31</Words>
  <Characters>179</Characters>
  <Application>Microsoft Office Word</Application>
  <DocSecurity>0</DocSecurity>
  <Lines>1</Lines>
  <Paragraphs>1</Paragraphs>
  <ScaleCrop>false</ScaleCrop>
  <Company/>
  <LinksUpToDate>false</LinksUpToDate>
  <CharactersWithSpaces>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dc:creator>
  <cp:lastModifiedBy>Ganesh Regulwar</cp:lastModifiedBy>
  <cp:revision>3</cp:revision>
  <cp:lastPrinted>2024-08-23T04:41:00Z</cp:lastPrinted>
  <dcterms:created xsi:type="dcterms:W3CDTF">2026-06-10T04:33:00Z</dcterms:created>
  <dcterms:modified xsi:type="dcterms:W3CDTF">2026-06-10T04:39:00Z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2023-11-02T00:00:00Z</vt:filetime>
  </property>
  <property fmtid="{D5CDD505-2E9C-101B-9397-08002B2CF9AE}" pid="3" name="Creator">
    <vt:lpwstr>Microsoft® Word 2021</vt:lpwstr>
  </property>
  <property fmtid="{D5CDD505-2E9C-101B-9397-08002B2CF9AE}" pid="4" name="LastSaved">
    <vt:filetime>2024-08-23T00:00:00Z</vt:filetime>
  </property>
  <property fmtid="{D5CDD505-2E9C-101B-9397-08002B2CF9AE}" pid="5" name="Producer">
    <vt:lpwstr>Microsoft® Word 2021</vt:lpwstr>
  </property>
</Properties>
</file>