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Calidad de dato en series financieras: un gate de dos capas con controles por representación</w:t>
      </w:r>
    </w:p>
    <w:p>
      <w:pPr>
        <w:spacing w:after="120"/>
        <w:jc w:val="both"/>
      </w:pPr>
      <w:r>
        <w:rPr>
          <w:b w:val="0"/>
          <w:i/>
          <w:color w:val="777777"/>
          <w:sz w:val="18"/>
        </w:rPr>
        <w:t>Resumen de estado · 2026-10-07 · documento PROVISIONAL, pendiente de auditoría cruzada</w:t>
      </w:r>
    </w:p>
    <w:p>
      <w:pPr>
        <w:pStyle w:val="Heading1"/>
      </w:pPr>
      <w:r>
        <w:t>1. El problema</w:t>
      </w:r>
    </w:p>
    <w:p>
      <w:pPr>
        <w:spacing w:after="120"/>
        <w:jc w:val="both"/>
      </w:pPr>
      <w:r>
        <w:rPr>
          <w:b w:val="0"/>
          <w:i w:val="0"/>
          <w:sz w:val="20"/>
        </w:rPr>
        <w:t>El control estándar de calidad en series de precios es una banda de 3σ sobre log-rendimientos. Ese umbral lleva dentro un supuesto de normalidad que los datos no cumplen. En Brent, entre 2007 y 2026, un movimiento de más de 3σ ocurre el 1.11% de las sesiones, frente al 0.27% que predice una normal: 4.1 veces más. A 5σ la razón llega a 5605.</w:t>
      </w:r>
    </w:p>
    <w:p>
      <w:pPr>
        <w:spacing w:after="120"/>
        <w:jc w:val="both"/>
      </w:pPr>
      <w:r>
        <w:rPr>
          <w:b w:val="0"/>
          <w:i w:val="0"/>
          <w:sz w:val="20"/>
        </w:rPr>
        <w:t>La consecuencia operativa es la que importa: si un umbral dispara cuatro veces más de lo que su propio supuesto promete, no puede separar una cola real de mercado de un defecto de dato. Bajo normalidad las dos cosas son «imposibles». Subir el umbral no resuelve nada; hay que mirar el dato desde otro sitio.</w:t>
      </w:r>
    </w:p>
    <w:p>
      <w:pPr>
        <w:spacing w:after="120"/>
        <w:jc w:val="both"/>
      </w:pPr>
      <w:r>
        <w:rPr>
          <w:b w:val="0"/>
          <w:i/>
          <w:color w:val="777777"/>
          <w:sz w:val="20"/>
        </w:rPr>
        <w:t>Advertencia: de esto NO se deduce ninguna dirección de sesgo en capital. Eso dependería de la cartera, el horizonte y la metodología, y no se calcula aquí.</w:t>
      </w:r>
    </w:p>
    <w:p>
      <w:pPr>
        <w:pStyle w:val="Heading1"/>
      </w:pPr>
      <w:r>
        <w:t>2. Qué se ha construido</w:t>
      </w:r>
    </w:p>
    <w:p>
      <w:pPr>
        <w:spacing w:after="120"/>
        <w:jc w:val="both"/>
      </w:pPr>
      <w:r>
        <w:rPr>
          <w:b w:val="0"/>
          <w:i w:val="0"/>
          <w:sz w:val="20"/>
        </w:rPr>
        <w:t>Un gate de calidad de dato en dos capas, bajo la disciplina de barato antes que caro.</w:t>
      </w:r>
    </w:p>
    <w:p>
      <w:pPr>
        <w:pStyle w:val="ListBullet"/>
      </w:pPr>
      <w:r>
        <w:t>Gate A — capa determinista y estadística: 3σ, checks TRIM de repetidos, rangos, positividad, duplicados y calendario. Es el statu quo.</w:t>
      </w:r>
    </w:p>
    <w:p>
      <w:pPr>
        <w:pStyle w:val="ListBullet"/>
      </w:pPr>
      <w:r>
        <w:t>Gate B — capa por representación más IA: el mismo dato mirado como precio crudo (retícula del tick), como retorno frente a sus pares (1−R² y CNN 1D), como canal (posición en banda, oscilación, geometría) y como vintage (serie recibida frente al snapshot almacenado). XGBoost entra como combinador de señales, no como un detector más.</w:t>
      </w:r>
    </w:p>
    <w:p>
      <w:pPr>
        <w:pStyle w:val="ListBullet"/>
      </w:pPr>
      <w:r>
        <w:t>Salida: alerta trazable al Risk Director con serie, tramo, controles activados, evidencia y score calibrado. Revisión humana; nunca corrección automática.</w:t>
      </w:r>
    </w:p>
    <w:p>
      <w:pPr>
        <w:spacing w:after="120"/>
        <w:jc w:val="both"/>
      </w:pPr>
      <w:r>
        <w:rPr>
          <w:b w:val="0"/>
          <w:i w:val="0"/>
          <w:sz w:val="20"/>
        </w:rPr>
        <w:t>Todos los controles operan bajo un gate conforme-adaptativo, que calibra el umbral sobre la distribución empírica observada en vez de sobre una forma supuesta. Esa es la vía para respetar un presupuesto de falsas alarmas cuando la distribución tiene las colas que tiene.</w:t>
      </w:r>
    </w:p>
    <w:p>
      <w:pPr>
        <w:pStyle w:val="Heading1"/>
      </w:pPr>
      <w:r>
        <w:t>3. Resultado principal: ninguna representación domina</w:t>
      </w:r>
    </w:p>
    <w:p>
      <w:pPr>
        <w:spacing w:after="120"/>
        <w:jc w:val="both"/>
      </w:pPr>
      <w:r>
        <w:rPr>
          <w:b w:val="0"/>
          <w:i w:val="0"/>
          <w:sz w:val="20"/>
        </w:rPr>
        <w:t>Medido sobre siete familias de defecto inyectadas en los precios y con el presupuesto de falsas alarmas igualado, el resultado es una matriz de coberturas complementarias, no un ranking. Cada familia la cubre bien un control distinto, y varias familias las ve un solo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Familia de defecto</w:t>
            </w:r>
          </w:p>
        </w:tc>
        <w:tc>
          <w:tcPr>
            <w:tcW w:type="dxa" w:w="1728"/>
          </w:tcPr>
          <w:p>
            <w:r>
              <w:rPr>
                <w:b/>
              </w:rPr>
              <w:t>Mejor control si REESCRIBE historia</w:t>
            </w:r>
          </w:p>
        </w:tc>
        <w:tc>
          <w:tcPr>
            <w:tcW w:type="dxa" w:w="1728"/>
          </w:tcPr>
          <w:p>
            <w:r>
              <w:rPr>
                <w:b/>
              </w:rPr>
              <w:t>Recall</w:t>
            </w:r>
          </w:p>
        </w:tc>
        <w:tc>
          <w:tcPr>
            <w:tcW w:type="dxa" w:w="1728"/>
          </w:tcPr>
          <w:p>
            <w:r>
              <w:rPr>
                <w:b/>
              </w:rPr>
              <w:t>Mejor control si llega con DATO NUEVO</w:t>
            </w:r>
          </w:p>
        </w:tc>
        <w:tc>
          <w:tcPr>
            <w:tcW w:type="dxa" w:w="1728"/>
          </w:tcPr>
          <w:p>
            <w:r>
              <w:rPr>
                <w:b/>
              </w:rPr>
              <w:t>Recall</w:t>
            </w:r>
          </w:p>
        </w:tc>
      </w:tr>
      <w:tr>
        <w:tc>
          <w:tcPr>
            <w:tcW w:type="dxa" w:w="1728"/>
          </w:tcPr>
          <w:p>
            <w:r>
              <w:t>stale</w:t>
            </w:r>
          </w:p>
        </w:tc>
        <w:tc>
          <w:tcPr>
            <w:tcW w:type="dxa" w:w="1728"/>
          </w:tcPr>
          <w:p>
            <w:r>
              <w:t>canal_coherencia</w:t>
            </w:r>
          </w:p>
        </w:tc>
        <w:tc>
          <w:tcPr>
            <w:tcW w:type="dxa" w:w="1728"/>
          </w:tcPr>
          <w:p>
            <w:r>
              <w:t>1.00</w:t>
            </w:r>
          </w:p>
        </w:tc>
        <w:tc>
          <w:tcPr>
            <w:tcW w:type="dxa" w:w="1728"/>
          </w:tcPr>
          <w:p>
            <w:r>
              <w:t>canal_oscilacion</w:t>
            </w:r>
          </w:p>
        </w:tc>
        <w:tc>
          <w:tcPr>
            <w:tcW w:type="dxa" w:w="1728"/>
          </w:tcPr>
          <w:p>
            <w:r>
              <w:t>0.15</w:t>
            </w:r>
          </w:p>
        </w:tc>
      </w:tr>
      <w:tr>
        <w:tc>
          <w:tcPr>
            <w:tcW w:type="dxa" w:w="1728"/>
          </w:tcPr>
          <w:p>
            <w:r>
              <w:t>reversible_jump</w:t>
            </w:r>
          </w:p>
        </w:tc>
        <w:tc>
          <w:tcPr>
            <w:tcW w:type="dxa" w:w="1728"/>
          </w:tcPr>
          <w:p>
            <w:r>
              <w:t>retorno_cnn</w:t>
            </w:r>
          </w:p>
        </w:tc>
        <w:tc>
          <w:tcPr>
            <w:tcW w:type="dxa" w:w="1728"/>
          </w:tcPr>
          <w:p>
            <w:r>
              <w:t>0.79</w:t>
            </w:r>
          </w:p>
        </w:tc>
        <w:tc>
          <w:tcPr>
            <w:tcW w:type="dxa" w:w="1728"/>
          </w:tcPr>
          <w:p>
            <w:r>
              <w:t>retorno_cnn</w:t>
            </w:r>
          </w:p>
        </w:tc>
        <w:tc>
          <w:tcPr>
            <w:tcW w:type="dxa" w:w="1728"/>
          </w:tcPr>
          <w:p>
            <w:r>
              <w:t>0.76</w:t>
            </w:r>
          </w:p>
        </w:tc>
      </w:tr>
      <w:tr>
        <w:tc>
          <w:tcPr>
            <w:tcW w:type="dxa" w:w="1728"/>
          </w:tcPr>
          <w:p>
            <w:r>
              <w:t>decoupling</w:t>
            </w:r>
          </w:p>
        </w:tc>
        <w:tc>
          <w:tcPr>
            <w:tcW w:type="dxa" w:w="1728"/>
          </w:tcPr>
          <w:p>
            <w:r>
              <w:t>vintage_discrepancia</w:t>
            </w:r>
          </w:p>
        </w:tc>
        <w:tc>
          <w:tcPr>
            <w:tcW w:type="dxa" w:w="1728"/>
          </w:tcPr>
          <w:p>
            <w:r>
              <w:t>1.00</w:t>
            </w:r>
          </w:p>
        </w:tc>
        <w:tc>
          <w:tcPr>
            <w:tcW w:type="dxa" w:w="1728"/>
          </w:tcPr>
          <w:p>
            <w:r>
              <w:t>retorno_cnn</w:t>
            </w:r>
          </w:p>
        </w:tc>
        <w:tc>
          <w:tcPr>
            <w:tcW w:type="dxa" w:w="1728"/>
          </w:tcPr>
          <w:p>
            <w:r>
              <w:t>0.37</w:t>
            </w:r>
          </w:p>
        </w:tc>
      </w:tr>
      <w:tr>
        <w:tc>
          <w:tcPr>
            <w:tcW w:type="dxa" w:w="1728"/>
          </w:tcPr>
          <w:p>
            <w:r>
              <w:t>lag1_calendar</w:t>
            </w:r>
          </w:p>
        </w:tc>
        <w:tc>
          <w:tcPr>
            <w:tcW w:type="dxa" w:w="1728"/>
          </w:tcPr>
          <w:p>
            <w:r>
              <w:t>vintage_discrepancia</w:t>
            </w:r>
          </w:p>
        </w:tc>
        <w:tc>
          <w:tcPr>
            <w:tcW w:type="dxa" w:w="1728"/>
          </w:tcPr>
          <w:p>
            <w:r>
              <w:t>1.00</w:t>
            </w:r>
          </w:p>
        </w:tc>
        <w:tc>
          <w:tcPr>
            <w:tcW w:type="dxa" w:w="1728"/>
          </w:tcPr>
          <w:p>
            <w:r>
              <w:t>retorno_cross_asset</w:t>
            </w:r>
          </w:p>
        </w:tc>
        <w:tc>
          <w:tcPr>
            <w:tcW w:type="dxa" w:w="1728"/>
          </w:tcPr>
          <w:p>
            <w:r>
              <w:t>0.28</w:t>
            </w:r>
          </w:p>
        </w:tc>
      </w:tr>
      <w:tr>
        <w:tc>
          <w:tcPr>
            <w:tcW w:type="dxa" w:w="1728"/>
          </w:tcPr>
          <w:p>
            <w:r>
              <w:t>weekly_ffill</w:t>
            </w:r>
          </w:p>
        </w:tc>
        <w:tc>
          <w:tcPr>
            <w:tcW w:type="dxa" w:w="1728"/>
          </w:tcPr>
          <w:p>
            <w:r>
              <w:t>vintage_discrepancia</w:t>
            </w:r>
          </w:p>
        </w:tc>
        <w:tc>
          <w:tcPr>
            <w:tcW w:type="dxa" w:w="1728"/>
          </w:tcPr>
          <w:p>
            <w:r>
              <w:t>1.00</w:t>
            </w:r>
          </w:p>
        </w:tc>
        <w:tc>
          <w:tcPr>
            <w:tcW w:type="dxa" w:w="1728"/>
          </w:tcPr>
          <w:p>
            <w:r>
              <w:t>retorno_cnn</w:t>
            </w:r>
          </w:p>
        </w:tc>
        <w:tc>
          <w:tcPr>
            <w:tcW w:type="dxa" w:w="1728"/>
          </w:tcPr>
          <w:p>
            <w:r>
              <w:t>0.10</w:t>
            </w:r>
          </w:p>
        </w:tc>
      </w:tr>
      <w:tr>
        <w:tc>
          <w:tcPr>
            <w:tcW w:type="dxa" w:w="1728"/>
          </w:tcPr>
          <w:p>
            <w:r>
              <w:t>source_switch</w:t>
            </w:r>
          </w:p>
        </w:tc>
        <w:tc>
          <w:tcPr>
            <w:tcW w:type="dxa" w:w="1728"/>
          </w:tcPr>
          <w:p>
            <w:r>
              <w:t>vintage_discrepancia</w:t>
            </w:r>
          </w:p>
        </w:tc>
        <w:tc>
          <w:tcPr>
            <w:tcW w:type="dxa" w:w="1728"/>
          </w:tcPr>
          <w:p>
            <w:r>
              <w:t>1.00</w:t>
            </w:r>
          </w:p>
        </w:tc>
        <w:tc>
          <w:tcPr>
            <w:tcW w:type="dxa" w:w="1728"/>
          </w:tcPr>
          <w:p>
            <w:r>
              <w:t>retorno_cnn</w:t>
            </w:r>
          </w:p>
        </w:tc>
        <w:tc>
          <w:tcPr>
            <w:tcW w:type="dxa" w:w="1728"/>
          </w:tcPr>
          <w:p>
            <w:r>
              <w:t>0.31</w:t>
            </w:r>
          </w:p>
        </w:tc>
      </w:tr>
      <w:tr>
        <w:tc>
          <w:tcPr>
            <w:tcW w:type="dxa" w:w="1728"/>
          </w:tcPr>
          <w:p>
            <w:r>
              <w:t>quantize</w:t>
            </w:r>
          </w:p>
        </w:tc>
        <w:tc>
          <w:tcPr>
            <w:tcW w:type="dxa" w:w="1728"/>
          </w:tcPr>
          <w:p>
            <w:r>
              <w:t>precio_reticula</w:t>
            </w:r>
          </w:p>
        </w:tc>
        <w:tc>
          <w:tcPr>
            <w:tcW w:type="dxa" w:w="1728"/>
          </w:tcPr>
          <w:p>
            <w:r>
              <w:t>1.00</w:t>
            </w:r>
          </w:p>
        </w:tc>
        <w:tc>
          <w:tcPr>
            <w:tcW w:type="dxa" w:w="1728"/>
          </w:tcPr>
          <w:p>
            <w:r>
              <w:t>canal_oscilacion</w:t>
            </w:r>
          </w:p>
        </w:tc>
        <w:tc>
          <w:tcPr>
            <w:tcW w:type="dxa" w:w="1728"/>
          </w:tcPr>
          <w:p>
            <w:r>
              <w:t>0.06</w:t>
            </w:r>
          </w:p>
        </w:tc>
      </w:tr>
    </w:tbl>
    <w:p>
      <w:pPr>
        <w:spacing w:after="120"/>
        <w:jc w:val="both"/>
      </w:pPr>
      <w:r>
        <w:rPr>
          <w:b w:val="0"/>
          <w:i/>
          <w:sz w:val="20"/>
        </w:rPr>
        <w:t>Las dos columnas de la derecha son la advertencia más importante de este documento. El control de vintage alcanza 1,00 en casi todas las familias cuando el defecto reescribe historia ya publicada, pero es CIEGO POR CONSTRUCCIÓN cuando el defecto llega con el dato nuevo: no hay snapshot anterior con el que comparar. Como la mayoría de los defectos entra por ahí, vintage no resuelve la calidad de dato, la complementa en el eje de la procedencia. Y en ese escenario la cobertura cae para todos los controles: es el frente abierto.</w:t>
      </w:r>
    </w:p>
    <w:p>
      <w:pPr>
        <w:pStyle w:val="Heading1"/>
      </w:pPr>
      <w:r>
        <w:t>4. Qué aporta —y qué no— la capa de IA</w:t>
      </w:r>
    </w:p>
    <w:p>
      <w:pPr>
        <w:spacing w:after="120"/>
        <w:jc w:val="both"/>
      </w:pPr>
      <w:r>
        <w:rPr>
          <w:b w:val="0"/>
          <w:i w:val="0"/>
          <w:sz w:val="20"/>
        </w:rPr>
        <w:t>Recall medio por configuración, cada una a su propio presupuesto de falsas alarmas: solo 3σ 0.074; banco de representaciones sin IA 0.579; banco completo con la CNN 0.606.</w:t>
      </w:r>
    </w:p>
    <w:p>
      <w:pPr>
        <w:spacing w:after="120"/>
        <w:jc w:val="both"/>
      </w:pPr>
      <w:r>
        <w:rPr>
          <w:b w:val="0"/>
          <w:i w:val="0"/>
          <w:sz w:val="20"/>
        </w:rPr>
        <w:t>La lectura es inequívoca y conviene no adornarla. El salto grande no lo da el deep learning: lo da pasar de un único control sobre retornos a un banco que mira el dato en cuatro representaciones. La CNN añade encima una mejora real pero modesta.</w:t>
      </w:r>
    </w:p>
    <w:p>
      <w:pPr>
        <w:spacing w:after="120"/>
        <w:jc w:val="both"/>
      </w:pPr>
      <w:r>
        <w:rPr>
          <w:b w:val="0"/>
          <w:i w:val="0"/>
          <w:sz w:val="20"/>
        </w:rPr>
        <w:t>Dónde sí es la mejor opción la CNN: en salto reversible (0.79), desacople (0.84) y cambio de fuente, que son las familias donde el defecto es un patrón temporal multivariante sin estadístico cerrado evidente. Donde existe un control dedicado, la red pierde contra él.</w:t>
      </w:r>
    </w:p>
    <w:p>
      <w:pPr>
        <w:spacing w:after="120"/>
        <w:jc w:val="both"/>
      </w:pPr>
      <w:r>
        <w:rPr>
          <w:b w:val="0"/>
          <w:i w:val="0"/>
          <w:sz w:val="20"/>
        </w:rPr>
        <w:t>Un matiz que refuerza a la red y que conviene no pasar por alto: en el escenario de DATO NUEVO —el operativamente frecuente, donde vintage no puede ayudar— la CNN es el mejor control en 4 de las 7 familias. Ahora bien, lo es en un campo débil: los recalls ahí van de 0,10 a 0,76, así que es la mejor opción disponible, no una solución. Ese escenario es el frente abierto del framework.</w:t>
      </w:r>
    </w:p>
    <w:p>
      <w:pPr>
        <w:spacing w:after="120"/>
        <w:jc w:val="both"/>
      </w:pPr>
      <w:r>
        <w:rPr>
          <w:b w:val="0"/>
          <w:i w:val="0"/>
          <w:sz w:val="20"/>
        </w:rPr>
        <w:t>Resultado negativo que hay que publicar igual: XGBoost como combinador de las señales rinde por debajo de la unión de los mismos controles con umbral propio. En pérdida de precisión llega a destruir un control que acierta el 100 %, diluyéndolo entre el resto. La conclusión es que el ML ayuda cuando ningún control es decisivo y estorba cuando uno lo es.</w:t>
      </w:r>
    </w:p>
    <w:p>
      <w:pPr>
        <w:pStyle w:val="Heading1"/>
      </w:pPr>
      <w:r>
        <w:t>5. Los modelos de riesgo que consumen la serie</w:t>
      </w:r>
    </w:p>
    <w:p>
      <w:pPr>
        <w:spacing w:after="120"/>
        <w:jc w:val="both"/>
      </w:pPr>
      <w:r>
        <w:rPr>
          <w:b w:val="0"/>
          <w:i w:val="0"/>
          <w:sz w:val="20"/>
        </w:rPr>
        <w:t>El gate de calidad entrega una serie validada a los modelos de riesgo. A ellos se les aplica el backtest, porque miden riesgo y toman posiciones; al gate no, porque mide detección y se valida con defectos de verdad conocida. Conviene dejar escrito no solo que superan la validación, sino por qué.</w:t>
      </w:r>
    </w:p>
    <w:p>
      <w:pPr>
        <w:pStyle w:val="ListBullet"/>
      </w:pPr>
      <w:r>
        <w:t>VaR FHS-EWMA condicional a volatilidad — Supera el backtest. Kupiec p 0,985: la tasa de excepciones observada (1,005 %) es indistinguible del 1 % teórico, o sea la cobertura es correcta. Christoffersen p 0,128: las excepciones NO se agrupan. Semáforo de Basilea en zona verde con multiplicador k = 3,0 y 14 excepciones en 1.393 días. Pasa PORQUE condiciona a volatilidad. Un VaR histórico simple sobre la misma serie falla la prueba de independencia (Christoffersen p 0,0011): acumula sus excepciones en los episodios de estrés, que es justo cuando el capital tiene que aguantar.</w:t>
      </w:r>
    </w:p>
    <w:p>
      <w:pPr>
        <w:pStyle w:val="ListBullet"/>
      </w:pPr>
      <w:r>
        <w:t>Supervivencia del canal · XGB-AFT — Supera el backtest. C-index 0,664 ± 0,007 en walk-forward purgado con embargo (mínimo por fold 0,656), de modo que el modelo ordena correctamente qué canales viven más. Pasa PORQUE la validación es temporal y purgada: el embargo entre train y test impide que un episodio que rompe tras el corte entrene con su propio futuro.</w:t>
      </w:r>
    </w:p>
    <w:p>
      <w:pPr>
        <w:pStyle w:val="ListBullet"/>
      </w:pPr>
      <w:r>
        <w:t>Detección de canal · CNN EfficientNet — Pasa como clasificador, no como estrategia. AUC 0,973 en canal ascendente y 0,956 en descendente. Como CLASIFICADOR pasa. Como estrategia de inversión NO: Deflated Sharpe 0,000 y PBO 0,382, con un Sharpe anual de 0,329 frente a 1,004 del buy &amp; hold. Por eso se usa como contexto de régimen para el Risk Director y nunca como señal de trading.</w:t>
      </w:r>
    </w:p>
    <w:p>
      <w:pPr>
        <w:pStyle w:val="Heading1"/>
      </w:pPr>
      <w:r>
        <w:t>6. Estado de validación</w:t>
      </w:r>
    </w:p>
    <w:p>
      <w:pPr>
        <w:pStyle w:val="ListBullet"/>
      </w:pPr>
      <w:r>
        <w:t>Cobertura complementaria por representación — 🟡 provisional. Cada familia de defecto la cubre bien un control distinto y varias las ve uno solo. Medido con defectos de verdad conocida sobre test temporal y presupuesto de falsas alarmas común. Pendiente de auditoría cruzada.</w:t>
      </w:r>
    </w:p>
    <w:p>
      <w:pPr>
        <w:pStyle w:val="ListBullet"/>
      </w:pPr>
      <w:r>
        <w:t>Calibración conforme del umbral — 🟡 provisional. El gate conforme-adaptativo alcanza el presupuesto de falsas alarmas fijado sin suponer una forma de distribución. Un umbral paramétrico 3σ no lo consigue sobre estas colas.</w:t>
      </w:r>
    </w:p>
    <w:p>
      <w:pPr>
        <w:pStyle w:val="ListBullet"/>
      </w:pPr>
      <w:r>
        <w:t>Alcance del control de vintage — 🟡 provisional. Alcanza recall 1,00 cuando el defecto reescribe historia ya publicada y es ciego por construcción cuando llega con el dato nuevo, porque no hay snapshot con el que comparar.</w:t>
      </w:r>
    </w:p>
    <w:p>
      <w:pPr>
        <w:pStyle w:val="ListBullet"/>
      </w:pPr>
      <w:r>
        <w:t>Aportación de la CNN 1D — 🟡 provisional. Es el mejor control en las familias sin estadístico cerrado evidente, y el que más cubre en el escenario de dato nuevo. La mejora sobre el banco completo es real y modesta.</w:t>
      </w:r>
    </w:p>
    <w:p>
      <w:pPr>
        <w:pStyle w:val="ListBullet"/>
      </w:pPr>
      <w:r>
        <w:t>XGBoost como combinador — 🟡 provisional · resultado negativo. Rinde por debajo de la unión de los mismos controles con umbral propio, y diluye los controles que resuelven una familia de forma exacta. Se publica como negativo.</w:t>
      </w:r>
    </w:p>
    <w:p>
      <w:pPr>
        <w:pStyle w:val="ListBullet"/>
      </w:pPr>
      <w:r>
        <w:t>Impacto en capital — fuera de alcance. No se reporta ninguna cifra. Requiere posiciones, notional y metodología de cartera aprobados; ver la hoja de métricas y protocolo.</w:t>
      </w:r>
    </w:p>
    <w:p>
      <w:pPr>
        <w:pStyle w:val="Heading1"/>
      </w:pPr>
      <w:r>
        <w:t>7. Lo que estos resultados no permiten afirmar</w:t>
      </w:r>
    </w:p>
    <w:p>
      <w:pPr>
        <w:pStyle w:val="ListBullet"/>
      </w:pPr>
      <w:r>
        <w:t>Defectos sintéticos. Las inyecciones están escritas por nosotros. No son una muestra de la prevalencia real, y el tamaño elegido en cada familia mueve su fila entera.</w:t>
      </w:r>
    </w:p>
    <w:p>
      <w:pPr>
        <w:pStyle w:val="ListBullet"/>
      </w:pPr>
      <w:r>
        <w:t>Prevalencia uniforme. Se promedia sobre familias como si todas fuesen igual de frecuentes. Es falso y no hay dato para ponderarlo.</w:t>
      </w:r>
    </w:p>
    <w:p>
      <w:pPr>
        <w:pStyle w:val="ListBullet"/>
      </w:pPr>
      <w:r>
        <w:t>Ventanas solapadas. 124 ventanas de test con stride 5 sobre ventana 20: solapan al 75 %, no son independientes y cualquier intervalo implícito es optimista.</w:t>
      </w:r>
    </w:p>
    <w:p>
      <w:pPr>
        <w:pStyle w:val="ListBullet"/>
      </w:pPr>
      <w:r>
        <w:t>Saneo idealizado. Donde se proyecta corrección, se supone que detectar equivale a corregir sin error ni coste. No se modela el coste de investigar una alerta.</w:t>
      </w:r>
    </w:p>
    <w:p>
      <w:pPr>
        <w:pStyle w:val="ListBullet"/>
      </w:pPr>
      <w:r>
        <w:t>FPR no idénticas. Gate A opera a 0,032 y Gate B a 0,083 de falsas alarmas: la comparación es generosa en alarmas para Gate B.</w:t>
      </w:r>
    </w:p>
    <w:p>
      <w:pPr>
        <w:pStyle w:val="ListBullet"/>
      </w:pPr>
      <w:r>
        <w:t>Un solo activo y un solo panel. Todo el banco se ha medido sobre Brent y sus cuatro pares. La transferencia a otras asset classes NO está demostrada.</w:t>
      </w:r>
    </w:p>
    <w:p>
      <w:pPr>
        <w:pStyle w:val="ListBullet"/>
      </w:pPr>
      <w:r>
        <w:t>Capital. No se reporta ninguna cifra de capital. Sería k·VaR con el semáforo de Basilea, pero exigiría cartera real, correlaciones, diversificación entre mesas, específico y default, PLA por mesa, NMRF y suelo SA.</w:t>
      </w:r>
    </w:p>
    <w:p>
      <w:pPr>
        <w:spacing w:after="120"/>
        <w:jc w:val="both"/>
      </w:pPr>
      <w:r>
        <w:rPr>
          <w:b w:val="0"/>
          <w:i/>
          <w:color w:val="777777"/>
          <w:sz w:val="20"/>
        </w:rPr>
        <w:t>Un resultado sin auditoría cruzada superada es provisional y no puede figurar como afirmación cerrada en el paper.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