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Calidad de dato en series financieras: un gate de dos capas con controles por representación</w:t>
      </w:r>
    </w:p>
    <w:p>
      <w:pPr>
        <w:spacing w:after="120"/>
        <w:jc w:val="both"/>
      </w:pPr>
      <w:r>
        <w:rPr>
          <w:b w:val="0"/>
          <w:i/>
          <w:color w:val="777777"/>
          <w:sz w:val="18"/>
        </w:rPr>
        <w:t>Resumen de estado · 2026-10-16 · documento PROVISIONAL, pendiente de auditoría cruzada</w:t>
      </w:r>
    </w:p>
    <w:p>
      <w:pPr>
        <w:pStyle w:val="Heading1"/>
      </w:pPr>
      <w:r>
        <w:t>1. El problema</w:t>
      </w:r>
    </w:p>
    <w:p>
      <w:pPr>
        <w:spacing w:after="120"/>
        <w:jc w:val="both"/>
      </w:pPr>
      <w:r>
        <w:rPr>
          <w:b w:val="0"/>
          <w:i w:val="0"/>
          <w:sz w:val="20"/>
        </w:rPr>
        <w:t>El control estándar de calidad en series de precios es una banda de 3σ sobre log-rendimientos. Ese umbral lleva dentro un supuesto de normalidad que los datos no cumplen. En Brent, entre 2007 y 2026, un movimiento de más de 3σ ocurre el 1.11% de las sesiones, frente al 0.27% de referencia gaussiana. La estandarización usa la muestra completa y es descriptiva; no constituye un detector de defectos ni un umbral desplegable.</w:t>
      </w:r>
    </w:p>
    <w:p>
      <w:pPr>
        <w:spacing w:after="120"/>
        <w:jc w:val="both"/>
      </w:pPr>
      <w:r>
        <w:rPr>
          <w:b w:val="0"/>
          <w:i w:val="0"/>
          <w:sz w:val="20"/>
        </w:rPr>
        <w:t>Una cola más pesada cuestiona el supuesto gaussiano del umbral, pero no permite clasificar una observación como movimiento de mercado o error de datos. Esa distinción requiere controles adicionales y etiquetas de incidentes.</w:t>
      </w:r>
    </w:p>
    <w:p>
      <w:pPr>
        <w:spacing w:after="120"/>
        <w:jc w:val="both"/>
      </w:pPr>
      <w:r>
        <w:rPr>
          <w:b w:val="0"/>
          <w:i/>
          <w:color w:val="777777"/>
          <w:sz w:val="20"/>
        </w:rPr>
        <w:t>Advertencia: de esto NO se deduce ninguna dirección de sesgo en capital. Eso dependería de la cartera, el horizonte y la metodología, y no se calcula aquí.</w:t>
      </w:r>
    </w:p>
    <w:p>
      <w:pPr>
        <w:pStyle w:val="Heading1"/>
      </w:pPr>
      <w:r>
        <w:t>2. Qué se ha construido</w:t>
      </w:r>
    </w:p>
    <w:p>
      <w:pPr>
        <w:spacing w:after="120"/>
        <w:jc w:val="both"/>
      </w:pPr>
      <w:r>
        <w:rPr>
          <w:b w:val="0"/>
          <w:i w:val="0"/>
          <w:sz w:val="20"/>
        </w:rPr>
        <w:t>Un gate de calidad de dato en dos capas, bajo la disciplina de barato antes que caro.</w:t>
      </w:r>
    </w:p>
    <w:p>
      <w:pPr>
        <w:pStyle w:val="ListBullet"/>
      </w:pPr>
      <w:r>
        <w:t>Gate A — capa determinista y estadística: 3σ, checks TRIM de repetidos, rangos, positividad, duplicados y calendario. Es el statu quo.</w:t>
      </w:r>
    </w:p>
    <w:p>
      <w:pPr>
        <w:pStyle w:val="ListBullet"/>
      </w:pPr>
      <w:r>
        <w:t>Gate B — capa por representación más IA: el mismo dato mirado como precio crudo (retícula del tick), como retorno frente a sus pares (1−R² y CNN 1D), como canal (posición en banda, oscilación, geometría) y como vintage (serie recibida frente al snapshot almacenado). XGBoost entra como combinador de señales, no como un detector más.</w:t>
      </w:r>
    </w:p>
    <w:p>
      <w:pPr>
        <w:pStyle w:val="ListBullet"/>
      </w:pPr>
      <w:r>
        <w:t>Salida: alerta trazable al Risk Director con serie, tramo, controles activados, evidencia y score calibrado. Revisión humana; nunca corrección automática.</w:t>
      </w:r>
    </w:p>
    <w:p>
      <w:pPr>
        <w:spacing w:after="120"/>
        <w:jc w:val="both"/>
      </w:pPr>
      <w:r>
        <w:rPr>
          <w:b w:val="0"/>
          <w:i w:val="0"/>
          <w:sz w:val="20"/>
        </w:rPr>
        <w:t>Los umbrales se calibran una vez sobre un segmento limpio tardío de validación, separado del ajuste por una purga, y quedan congelados antes del test. La FPR OOS se reporta sin feedback. No se reclama garantía conformal ni estabilidad bajo drift.</w:t>
      </w:r>
    </w:p>
    <w:p>
      <w:pPr>
        <w:pStyle w:val="Heading1"/>
      </w:pPr>
      <w:r>
        <w:t>3. Punto de operación declarado</w:t>
      </w:r>
    </w:p>
    <w:p>
      <w:pPr>
        <w:spacing w:after="120"/>
        <w:jc w:val="both"/>
      </w:pPr>
      <w:r>
        <w:rPr>
          <w:b w:val="0"/>
          <w:i w:val="0"/>
          <w:sz w:val="20"/>
        </w:rPr>
        <w:t>El gate no promete una tasa nominal de falsas alarmas, porque no se cumple fuera de muestra. Declara la medida, que es lo que permite dimensionar la capacidad de revisión sobre un número real. El suelo medido es 8.3% de ventanas limpias marcadas: por debajo de ahí no existe configuración, de modo que pedir un 5 % o un 1 % no cambia nada salvo la expectativa de quien lo lee.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α nominal pedido</w:t>
            </w:r>
          </w:p>
        </w:tc>
        <w:tc>
          <w:tcPr>
            <w:tcW w:type="dxa" w:w="2880"/>
          </w:tcPr>
          <w:p>
            <w:r>
              <w:rPr>
                <w:b/>
              </w:rPr>
              <w:t>FPR realizada (medida)</w:t>
            </w:r>
          </w:p>
        </w:tc>
        <w:tc>
          <w:tcPr>
            <w:tcW w:type="dxa" w:w="2880"/>
          </w:tcPr>
          <w:p>
            <w:r>
              <w:rPr>
                <w:b/>
              </w:rPr>
              <w:t>recall medio</w:t>
            </w:r>
          </w:p>
        </w:tc>
      </w:tr>
      <w:tr>
        <w:tc>
          <w:tcPr>
            <w:tcW w:type="dxa" w:w="2880"/>
          </w:tcPr>
          <w:p>
            <w:r>
              <w:t>0.005</w:t>
            </w:r>
          </w:p>
        </w:tc>
        <w:tc>
          <w:tcPr>
            <w:tcW w:type="dxa" w:w="2880"/>
          </w:tcPr>
          <w:p>
            <w:r>
              <w:t>0.083 ± 0.004</w:t>
            </w:r>
          </w:p>
        </w:tc>
        <w:tc>
          <w:tcPr>
            <w:tcW w:type="dxa" w:w="2880"/>
          </w:tcPr>
          <w:p>
            <w:r>
              <w:t>0.605</w:t>
            </w:r>
          </w:p>
        </w:tc>
      </w:tr>
      <w:tr>
        <w:tc>
          <w:tcPr>
            <w:tcW w:type="dxa" w:w="2880"/>
          </w:tcPr>
          <w:p>
            <w:r>
              <w:t>0.010</w:t>
            </w:r>
          </w:p>
        </w:tc>
        <w:tc>
          <w:tcPr>
            <w:tcW w:type="dxa" w:w="2880"/>
          </w:tcPr>
          <w:p>
            <w:r>
              <w:t>0.083 ± 0.004</w:t>
            </w:r>
          </w:p>
        </w:tc>
        <w:tc>
          <w:tcPr>
            <w:tcW w:type="dxa" w:w="2880"/>
          </w:tcPr>
          <w:p>
            <w:r>
              <w:t>0.608</w:t>
            </w:r>
          </w:p>
        </w:tc>
      </w:tr>
      <w:tr>
        <w:tc>
          <w:tcPr>
            <w:tcW w:type="dxa" w:w="2880"/>
          </w:tcPr>
          <w:p>
            <w:r>
              <w:t>0.020</w:t>
            </w:r>
          </w:p>
        </w:tc>
        <w:tc>
          <w:tcPr>
            <w:tcW w:type="dxa" w:w="2880"/>
          </w:tcPr>
          <w:p>
            <w:r>
              <w:t>0.099 ± 0.004</w:t>
            </w:r>
          </w:p>
        </w:tc>
        <w:tc>
          <w:tcPr>
            <w:tcW w:type="dxa" w:w="2880"/>
          </w:tcPr>
          <w:p>
            <w:r>
              <w:t>0.616</w:t>
            </w:r>
          </w:p>
        </w:tc>
      </w:tr>
      <w:tr>
        <w:tc>
          <w:tcPr>
            <w:tcW w:type="dxa" w:w="2880"/>
          </w:tcPr>
          <w:p>
            <w:r>
              <w:t>0.050</w:t>
            </w:r>
          </w:p>
        </w:tc>
        <w:tc>
          <w:tcPr>
            <w:tcW w:type="dxa" w:w="2880"/>
          </w:tcPr>
          <w:p>
            <w:r>
              <w:t>0.116 ± 0.004</w:t>
            </w:r>
          </w:p>
        </w:tc>
        <w:tc>
          <w:tcPr>
            <w:tcW w:type="dxa" w:w="2880"/>
          </w:tcPr>
          <w:p>
            <w:r>
              <w:t>0.646</w:t>
            </w:r>
          </w:p>
        </w:tc>
      </w:tr>
      <w:tr>
        <w:tc>
          <w:tcPr>
            <w:tcW w:type="dxa" w:w="2880"/>
          </w:tcPr>
          <w:p>
            <w:r>
              <w:t>0.100</w:t>
            </w:r>
          </w:p>
        </w:tc>
        <w:tc>
          <w:tcPr>
            <w:tcW w:type="dxa" w:w="2880"/>
          </w:tcPr>
          <w:p>
            <w:r>
              <w:t>0.202 ± 0.011</w:t>
            </w:r>
          </w:p>
        </w:tc>
        <w:tc>
          <w:tcPr>
            <w:tcW w:type="dxa" w:w="2880"/>
          </w:tcPr>
          <w:p>
            <w:r>
              <w:t>0.700</w:t>
            </w:r>
          </w:p>
        </w:tc>
      </w:tr>
    </w:tbl>
    <w:p>
      <w:pPr>
        <w:spacing w:after="120"/>
        <w:jc w:val="both"/>
      </w:pPr>
      <w:r>
        <w:rPr>
          <w:b w:val="0"/>
          <w:i/>
          <w:sz w:val="20"/>
        </w:rPr>
        <w:t>Por encima del suelo el intercambio es real y suave: más carga de revisión compra más cobertura. El exceso sobre el nominal se descompone en resolución de la muestra de calibración, ya corregida, y deriva residual —cada control realiza unas 2,6 veces su tasa nominal—, que es la que fija el suelo y no se arregla repartiendo mejor el presupuesto entre controles.</w:t>
      </w:r>
    </w:p>
    <w:p>
      <w:pPr>
        <w:pStyle w:val="Heading1"/>
      </w:pPr>
      <w:r>
        <w:t>4. Ninguna representación domina</w:t>
      </w:r>
    </w:p>
    <w:p>
      <w:pPr>
        <w:spacing w:after="120"/>
        <w:jc w:val="both"/>
      </w:pPr>
      <w:r>
        <w:rPr>
          <w:b w:val="0"/>
          <w:i w:val="0"/>
          <w:sz w:val="20"/>
        </w:rPr>
        <w:t>Medido sobre siete familias de defecto sintéticas, con umbrales calibrados al mismo objetivo nominal en validación y FPR observada de forma independiente en test, el resultado es una matriz de coberturas complementarias, no un ranking. Cada familia la cubre bien un control distinto, y varias familias las ve un solo control.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Familia de defecto</w:t>
            </w:r>
          </w:p>
        </w:tc>
        <w:tc>
          <w:tcPr>
            <w:tcW w:type="dxa" w:w="1728"/>
          </w:tcPr>
          <w:p>
            <w:r>
              <w:rPr>
                <w:b/>
              </w:rPr>
              <w:t>Mejor control si REESCRIBE historia</w:t>
            </w:r>
          </w:p>
        </w:tc>
        <w:tc>
          <w:tcPr>
            <w:tcW w:type="dxa" w:w="1728"/>
          </w:tcPr>
          <w:p>
            <w:r>
              <w:rPr>
                <w:b/>
              </w:rPr>
              <w:t>Recall</w:t>
            </w:r>
          </w:p>
        </w:tc>
        <w:tc>
          <w:tcPr>
            <w:tcW w:type="dxa" w:w="1728"/>
          </w:tcPr>
          <w:p>
            <w:r>
              <w:rPr>
                <w:b/>
              </w:rPr>
              <w:t>Mejor control si llega con DATO NUEVO</w:t>
            </w:r>
          </w:p>
        </w:tc>
        <w:tc>
          <w:tcPr>
            <w:tcW w:type="dxa" w:w="1728"/>
          </w:tcPr>
          <w:p>
            <w:r>
              <w:rPr>
                <w:b/>
              </w:rPr>
              <w:t>Recall</w:t>
            </w:r>
          </w:p>
        </w:tc>
      </w:tr>
      <w:tr>
        <w:tc>
          <w:tcPr>
            <w:tcW w:type="dxa" w:w="1728"/>
          </w:tcPr>
          <w:p>
            <w:r>
              <w:t>stale</w:t>
            </w:r>
          </w:p>
        </w:tc>
        <w:tc>
          <w:tcPr>
            <w:tcW w:type="dxa" w:w="1728"/>
          </w:tcPr>
          <w:p>
            <w:r>
              <w:t>canal_coherencia</w:t>
            </w:r>
          </w:p>
        </w:tc>
        <w:tc>
          <w:tcPr>
            <w:tcW w:type="dxa" w:w="1728"/>
          </w:tcPr>
          <w:p>
            <w:r>
              <w:t>1.00</w:t>
            </w:r>
          </w:p>
        </w:tc>
        <w:tc>
          <w:tcPr>
            <w:tcW w:type="dxa" w:w="1728"/>
          </w:tcPr>
          <w:p>
            <w:r>
              <w:t>retorno_cross_asset</w:t>
            </w:r>
          </w:p>
        </w:tc>
        <w:tc>
          <w:tcPr>
            <w:tcW w:type="dxa" w:w="1728"/>
          </w:tcPr>
          <w:p>
            <w:r>
              <w:t>0.64</w:t>
            </w:r>
          </w:p>
        </w:tc>
      </w:tr>
      <w:tr>
        <w:tc>
          <w:tcPr>
            <w:tcW w:type="dxa" w:w="1728"/>
          </w:tcPr>
          <w:p>
            <w:r>
              <w:t>reversible_jump</w:t>
            </w:r>
          </w:p>
        </w:tc>
        <w:tc>
          <w:tcPr>
            <w:tcW w:type="dxa" w:w="1728"/>
          </w:tcPr>
          <w:p>
            <w:r>
              <w:t>retorno_cross_asset</w:t>
            </w:r>
          </w:p>
        </w:tc>
        <w:tc>
          <w:tcPr>
            <w:tcW w:type="dxa" w:w="1728"/>
          </w:tcPr>
          <w:p>
            <w:r>
              <w:t>0.97</w:t>
            </w:r>
          </w:p>
        </w:tc>
        <w:tc>
          <w:tcPr>
            <w:tcW w:type="dxa" w:w="1728"/>
          </w:tcPr>
          <w:p>
            <w:r>
              <w:t>retorno_cross_asset</w:t>
            </w:r>
          </w:p>
        </w:tc>
        <w:tc>
          <w:tcPr>
            <w:tcW w:type="dxa" w:w="1728"/>
          </w:tcPr>
          <w:p>
            <w:r>
              <w:t>0.96</w:t>
            </w:r>
          </w:p>
        </w:tc>
      </w:tr>
      <w:tr>
        <w:tc>
          <w:tcPr>
            <w:tcW w:type="dxa" w:w="1728"/>
          </w:tcPr>
          <w:p>
            <w:r>
              <w:t>decoupling</w:t>
            </w:r>
          </w:p>
        </w:tc>
        <w:tc>
          <w:tcPr>
            <w:tcW w:type="dxa" w:w="1728"/>
          </w:tcPr>
          <w:p>
            <w:r>
              <w:t>vintage_discrepancia</w:t>
            </w:r>
          </w:p>
        </w:tc>
        <w:tc>
          <w:tcPr>
            <w:tcW w:type="dxa" w:w="1728"/>
          </w:tcPr>
          <w:p>
            <w:r>
              <w:t>1.00</w:t>
            </w:r>
          </w:p>
        </w:tc>
        <w:tc>
          <w:tcPr>
            <w:tcW w:type="dxa" w:w="1728"/>
          </w:tcPr>
          <w:p>
            <w:r>
              <w:t>retorno_cross_asset</w:t>
            </w:r>
          </w:p>
        </w:tc>
        <w:tc>
          <w:tcPr>
            <w:tcW w:type="dxa" w:w="1728"/>
          </w:tcPr>
          <w:p>
            <w:r>
              <w:t>0.84</w:t>
            </w:r>
          </w:p>
        </w:tc>
      </w:tr>
      <w:tr>
        <w:tc>
          <w:tcPr>
            <w:tcW w:type="dxa" w:w="1728"/>
          </w:tcPr>
          <w:p>
            <w:r>
              <w:t>lag1_calendar</w:t>
            </w:r>
          </w:p>
        </w:tc>
        <w:tc>
          <w:tcPr>
            <w:tcW w:type="dxa" w:w="1728"/>
          </w:tcPr>
          <w:p>
            <w:r>
              <w:t>retorno_cross_asset</w:t>
            </w:r>
          </w:p>
        </w:tc>
        <w:tc>
          <w:tcPr>
            <w:tcW w:type="dxa" w:w="1728"/>
          </w:tcPr>
          <w:p>
            <w:r>
              <w:t>1.00</w:t>
            </w:r>
          </w:p>
        </w:tc>
        <w:tc>
          <w:tcPr>
            <w:tcW w:type="dxa" w:w="1728"/>
          </w:tcPr>
          <w:p>
            <w:r>
              <w:t>retorno_cross_asset</w:t>
            </w:r>
          </w:p>
        </w:tc>
        <w:tc>
          <w:tcPr>
            <w:tcW w:type="dxa" w:w="1728"/>
          </w:tcPr>
          <w:p>
            <w:r>
              <w:t>0.84</w:t>
            </w:r>
          </w:p>
        </w:tc>
      </w:tr>
      <w:tr>
        <w:tc>
          <w:tcPr>
            <w:tcW w:type="dxa" w:w="1728"/>
          </w:tcPr>
          <w:p>
            <w:r>
              <w:t>weekly_ffill</w:t>
            </w:r>
          </w:p>
        </w:tc>
        <w:tc>
          <w:tcPr>
            <w:tcW w:type="dxa" w:w="1728"/>
          </w:tcPr>
          <w:p>
            <w:r>
              <w:t>canal_oscilacion</w:t>
            </w:r>
          </w:p>
        </w:tc>
        <w:tc>
          <w:tcPr>
            <w:tcW w:type="dxa" w:w="1728"/>
          </w:tcPr>
          <w:p>
            <w:r>
              <w:t>1.00</w:t>
            </w:r>
          </w:p>
        </w:tc>
        <w:tc>
          <w:tcPr>
            <w:tcW w:type="dxa" w:w="1728"/>
          </w:tcPr>
          <w:p>
            <w:r>
              <w:t>retorno_cross_asset</w:t>
            </w:r>
          </w:p>
        </w:tc>
        <w:tc>
          <w:tcPr>
            <w:tcW w:type="dxa" w:w="1728"/>
          </w:tcPr>
          <w:p>
            <w:r>
              <w:t>0.53</w:t>
            </w:r>
          </w:p>
        </w:tc>
      </w:tr>
      <w:tr>
        <w:tc>
          <w:tcPr>
            <w:tcW w:type="dxa" w:w="1728"/>
          </w:tcPr>
          <w:p>
            <w:r>
              <w:t>source_switch</w:t>
            </w:r>
          </w:p>
        </w:tc>
        <w:tc>
          <w:tcPr>
            <w:tcW w:type="dxa" w:w="1728"/>
          </w:tcPr>
          <w:p>
            <w:r>
              <w:t>vintage_discrepancia</w:t>
            </w:r>
          </w:p>
        </w:tc>
        <w:tc>
          <w:tcPr>
            <w:tcW w:type="dxa" w:w="1728"/>
          </w:tcPr>
          <w:p>
            <w:r>
              <w:t>1.00</w:t>
            </w:r>
          </w:p>
        </w:tc>
        <w:tc>
          <w:tcPr>
            <w:tcW w:type="dxa" w:w="1728"/>
          </w:tcPr>
          <w:p>
            <w:r>
              <w:t>retorno_cross_asset</w:t>
            </w:r>
          </w:p>
        </w:tc>
        <w:tc>
          <w:tcPr>
            <w:tcW w:type="dxa" w:w="1728"/>
          </w:tcPr>
          <w:p>
            <w:r>
              <w:t>0.75</w:t>
            </w:r>
          </w:p>
        </w:tc>
      </w:tr>
      <w:tr>
        <w:tc>
          <w:tcPr>
            <w:tcW w:type="dxa" w:w="1728"/>
          </w:tcPr>
          <w:p>
            <w:r>
              <w:t>quantize</w:t>
            </w:r>
          </w:p>
        </w:tc>
        <w:tc>
          <w:tcPr>
            <w:tcW w:type="dxa" w:w="1728"/>
          </w:tcPr>
          <w:p>
            <w:r>
              <w:t>precio_reticula</w:t>
            </w:r>
          </w:p>
        </w:tc>
        <w:tc>
          <w:tcPr>
            <w:tcW w:type="dxa" w:w="1728"/>
          </w:tcPr>
          <w:p>
            <w:r>
              <w:t>1.00</w:t>
            </w:r>
          </w:p>
        </w:tc>
        <w:tc>
          <w:tcPr>
            <w:tcW w:type="dxa" w:w="1728"/>
          </w:tcPr>
          <w:p>
            <w:r>
              <w:t>vintage_discrepancia</w:t>
            </w:r>
          </w:p>
        </w:tc>
        <w:tc>
          <w:tcPr>
            <w:tcW w:type="dxa" w:w="1728"/>
          </w:tcPr>
          <w:p>
            <w:r>
              <w:t>0.47</w:t>
            </w:r>
          </w:p>
        </w:tc>
      </w:tr>
    </w:tbl>
    <w:p>
      <w:pPr>
        <w:spacing w:after="120"/>
        <w:jc w:val="both"/>
      </w:pPr>
      <w:r>
        <w:rPr>
          <w:b w:val="0"/>
          <w:i/>
          <w:sz w:val="20"/>
        </w:rPr>
        <w:t>Las dos columnas de la derecha son la advertencia más importante de este documento. El control de vintage alcanza 1,00 en casi todas las familias cuando el defecto reescribe historia ya publicada, pero es CIEGO POR CONSTRUCCIÓN cuando el defecto llega con el dato nuevo: no hay snapshot anterior con el que comparar. Como la mayoría de los defectos entra por ahí, vintage no resuelve la calidad de dato, la complementa en el eje de la procedencia. Y en ese escenario la cobertura cae para todos los controles: es el frente abierto.</w:t>
      </w:r>
    </w:p>
    <w:p>
      <w:pPr>
        <w:pStyle w:val="Heading1"/>
      </w:pPr>
      <w:r>
        <w:t>5. Qué aporta —y qué no— la capa de IA</w:t>
      </w:r>
    </w:p>
    <w:p>
      <w:pPr>
        <w:spacing w:after="120"/>
        <w:jc w:val="both"/>
      </w:pPr>
      <w:r>
        <w:rPr>
          <w:b w:val="0"/>
          <w:i w:val="0"/>
          <w:sz w:val="20"/>
        </w:rPr>
        <w:t>Recall medio descriptivo por configuración con FPR OOS no igualada solo 3σ 0.371; banco de representaciones sin IA 0.946; banco completo con la CNN 0.951.</w:t>
      </w:r>
    </w:p>
    <w:p>
      <w:pPr>
        <w:spacing w:after="120"/>
        <w:jc w:val="both"/>
      </w:pPr>
      <w:r>
        <w:rPr>
          <w:b w:val="0"/>
          <w:i w:val="0"/>
          <w:sz w:val="20"/>
        </w:rPr>
        <w:t>Estas cifras no aíslan el efecto de la CNN: cambian las tasas de falsas alarmas realizadas y la composición de controles. La selección del mejor control por familia se hace sobre el mismo test y es exploratoria, no evidencia confirmatoria.</w:t>
      </w:r>
    </w:p>
    <w:p>
      <w:pPr>
        <w:spacing w:after="120"/>
        <w:jc w:val="both"/>
      </w:pPr>
      <w:r>
        <w:rPr>
          <w:b w:val="0"/>
          <w:i w:val="0"/>
          <w:sz w:val="20"/>
        </w:rPr>
        <w:t>En este test, la CNN resulta el máximo por familia en 0 de 7 familias de dato nuevo. Como el ganador se selecciona post hoc y no hay etiquetas reales ni prevalencias observadas, este recuento solo genera una hipótesis para una evaluación externa preespecificada.</w:t>
      </w:r>
    </w:p>
    <w:p>
      <w:pPr>
        <w:spacing w:after="120"/>
        <w:jc w:val="both"/>
      </w:pPr>
      <w:r>
        <w:rPr>
          <w:b w:val="0"/>
          <w:i w:val="0"/>
          <w:sz w:val="20"/>
        </w:rPr>
        <w:t>La comparación XGBoost-unión no es concluyente: sus FPR OOS son distintas, por lo que la diferencia de recall mezcla sensibilidad con punto de operación. No se atribuye ventaja ni perjuicio al combinador sin comparación a FPR equivalente y validación externa.</w:t>
      </w:r>
    </w:p>
    <w:p>
      <w:pPr>
        <w:pStyle w:val="Heading1"/>
      </w:pPr>
      <w:r>
        <w:t>6. Los modelos de riesgo que consumen la serie</w:t>
      </w:r>
    </w:p>
    <w:p>
      <w:pPr>
        <w:spacing w:after="120"/>
        <w:jc w:val="both"/>
      </w:pPr>
      <w:r>
        <w:rPr>
          <w:b w:val="0"/>
          <w:i w:val="0"/>
          <w:sz w:val="20"/>
        </w:rPr>
        <w:t>El gate de calidad entrega una serie validada a los modelos de riesgo. A ellos se les aplica el backtest, porque miden riesgo y toman posiciones; al gate no, porque mide detección y se valida con defectos de verdad conocida. Conviene dejar escrito no solo que superan la validación, sino por qué.</w:t>
      </w:r>
    </w:p>
    <w:p>
      <w:pPr>
        <w:pStyle w:val="ListBullet"/>
      </w:pPr>
      <w:r>
        <w:t>VaR FHS-EWMA condicional a volatilidad — Supera el backtest. Kupiec p 0,985: la tasa de excepciones observada (1,005 %) es indistinguible del 1 % teórico, o sea la cobertura es correcta. Christoffersen p 0,128: las excepciones NO se agrupan. Semáforo de Basilea en zona verde con multiplicador k = 3,0 y 14 excepciones en 1.393 días. Pasa PORQUE condiciona a volatilidad. Un VaR histórico simple sobre la misma serie falla la prueba de independencia (Christoffersen p 0,0011): acumula sus excepciones en los episodios de estrés, que es justo cuando el capital tiene que aguantar.</w:t>
      </w:r>
    </w:p>
    <w:p>
      <w:pPr>
        <w:pStyle w:val="ListBullet"/>
      </w:pPr>
      <w:r>
        <w:t>Supervivencia del canal · XGB-AFT — Supera el backtest. C-index 0,664 ± 0,007 en walk-forward purgado con embargo (mínimo por fold 0,656), de modo que el modelo ordena correctamente qué canales viven más. Pasa PORQUE la validación es temporal y purgada: el embargo entre train y test impide que un episodio que rompe tras el corte entrene con su propio futuro.</w:t>
      </w:r>
    </w:p>
    <w:p>
      <w:pPr>
        <w:pStyle w:val="ListBullet"/>
      </w:pPr>
      <w:r>
        <w:t>Detección de canal · CNN EfficientNet — Pasa como clasificador, no como estrategia. AUC 0,973 en canal ascendente y 0,956 en descendente. Como CLASIFICADOR pasa. Como estrategia de inversión NO: Deflated Sharpe 0,000 y PBO 0,382, con un Sharpe anual de 0,329 frente a 1,004 del buy &amp; hold. Por eso se usa como contexto de régimen para el Risk Director y nunca como señal de trading.</w:t>
      </w:r>
    </w:p>
    <w:p>
      <w:pPr>
        <w:pStyle w:val="Heading1"/>
      </w:pPr>
      <w:r>
        <w:t>7. Estado de validación</w:t>
      </w:r>
    </w:p>
    <w:p>
      <w:pPr>
        <w:pStyle w:val="ListBullet"/>
      </w:pPr>
      <w:r>
        <w:t>Cobertura complementaria por representación — 🟡 provisional. Los controles muestran perfiles de cobertura distintos y varias familias quedan cubiertas por un único control en este test. Medido con defectos de verdad conocida sobre test temporal y presupuesto de falsas alarmas nominal calibrado en validación; la FPR se mide en test y puede diferir. Pendiente de auditoría cruzada.</w:t>
      </w:r>
    </w:p>
    <w:p>
      <w:pPr>
        <w:pStyle w:val="ListBullet"/>
      </w:pPr>
      <w:r>
        <w:t>Calibración empírica del umbral — 🟡 provisional. Se congela un umbral empírico usando un bloque de validación separado y purgado. No se reclama garantía conformal ni control de FPR bajo drift.</w:t>
      </w:r>
    </w:p>
    <w:p>
      <w:pPr>
        <w:pStyle w:val="ListBullet"/>
      </w:pPr>
      <w:r>
        <w:t>Alcance del control de vintage — 🟡 provisional. Alcanza recall 1,00 cuando el defecto reescribe historia ya publicada y es ciego por construcción cuando llega con el dato nuevo, porque no hay snapshot con el que comparar.</w:t>
      </w:r>
    </w:p>
    <w:p>
      <w:pPr>
        <w:pStyle w:val="ListBullet"/>
      </w:pPr>
      <w:r>
        <w:t>Aportación de la CNN 1D — 🟡 exploratorio. La evaluación sintética no demuestra superioridad generalizable. La selección de ganadores se hace sobre el mismo test; hacen falta prueba externa y etiquetas reales.</w:t>
      </w:r>
    </w:p>
    <w:p>
      <w:pPr>
        <w:pStyle w:val="ListBullet"/>
      </w:pPr>
      <w:r>
        <w:t>XGBoost como combinador — 🟡 no concluyente. Su recall y el de la unión se observan con FPR OOS distintas. No se puede afirmar que uno supere al otro sin comparar a un mismo punto de operación o sobre curvas ROC/PR.</w:t>
      </w:r>
    </w:p>
    <w:p>
      <w:pPr>
        <w:pStyle w:val="ListBullet"/>
      </w:pPr>
      <w:r>
        <w:t>Impacto en capital — fuera de alcance. No se reporta ninguna cifra. Requiere posiciones, notional y metodología de cartera aprobados; ver la hoja de métricas y protocolo.</w:t>
      </w:r>
    </w:p>
    <w:p>
      <w:pPr>
        <w:pStyle w:val="Heading1"/>
      </w:pPr>
      <w:r>
        <w:t>8. Lo que estos resultados no permiten afirmar</w:t>
      </w:r>
    </w:p>
    <w:p>
      <w:pPr>
        <w:pStyle w:val="ListBullet"/>
      </w:pPr>
      <w:r>
        <w:t>Defectos sintéticos. Las inyecciones están escritas por nosotros. No son una muestra de la prevalencia real, y el tamaño elegido en cada familia mueve su fila entera.</w:t>
      </w:r>
    </w:p>
    <w:p>
      <w:pPr>
        <w:pStyle w:val="ListBullet"/>
      </w:pPr>
      <w:r>
        <w:t>Prevalencia uniforme. Se promedia sobre familias como si todas fuesen igual de frecuentes. Es falso y no hay dato para ponderarlo.</w:t>
      </w:r>
    </w:p>
    <w:p>
      <w:pPr>
        <w:pStyle w:val="ListBullet"/>
      </w:pPr>
      <w:r>
        <w:t>Ventanas solapadas. 124 ventanas de test con stride 5 sobre ventana 20: solapan al 75 %, no son independientes y cualquier intervalo implícito es optimista.</w:t>
      </w:r>
    </w:p>
    <w:p>
      <w:pPr>
        <w:pStyle w:val="ListBullet"/>
      </w:pPr>
      <w:r>
        <w:t>Saneo idealizado. Donde se proyecta corrección, se supone que detectar equivale a corregir sin error ni coste. No se modela el coste de investigar una alerta.</w:t>
      </w:r>
    </w:p>
    <w:p>
      <w:pPr>
        <w:pStyle w:val="ListBullet"/>
      </w:pPr>
      <w:r>
        <w:t>FPR observada no igualada. La FPR de test puede diferir entre controles pese a calibrar umbrales al mismo objetivo nominal; no interpretar recall como comparación a operación idéntica.</w:t>
      </w:r>
    </w:p>
    <w:p>
      <w:pPr>
        <w:pStyle w:val="ListBullet"/>
      </w:pPr>
      <w:r>
        <w:t>Resolución de calibración. El bloque de calibración es finito. La cuota de Bonferroni por control puede quedar por debajo de una observación (1/n), en cuyo caso el umbral empírico se sitúa en el máximo de calibración y no puede realizar exactamente el objetivo nominal.</w:t>
      </w:r>
    </w:p>
    <w:p>
      <w:pPr>
        <w:pStyle w:val="ListBullet"/>
      </w:pPr>
      <w:r>
        <w:t>Un solo activo y un solo panel. Todo el banco se ha medido sobre Brent y sus cuatro pares. La transferencia a otras asset classes NO está demostrada.</w:t>
      </w:r>
    </w:p>
    <w:p>
      <w:pPr>
        <w:pStyle w:val="ListBullet"/>
      </w:pPr>
      <w:r>
        <w:t>Capital. No se reporta ninguna cifra de capital. Sería k·VaR con el semáforo de Basilea, pero exigiría cartera real, correlaciones, diversificación entre mesas, específico y default, PLA por mesa, NMRF y suelo SA.</w:t>
      </w:r>
    </w:p>
    <w:p>
      <w:pPr>
        <w:spacing w:after="120"/>
        <w:jc w:val="both"/>
      </w:pPr>
      <w:r>
        <w:rPr>
          <w:b w:val="0"/>
          <w:i/>
          <w:color w:val="777777"/>
          <w:sz w:val="20"/>
        </w:rPr>
        <w:t>Un resultado sin auditoría cruzada superada es provisional y no puede figurar como afirmación cerrada en el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