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23" w:name="conference-vs-journal-scope"/>
    <w:p>
      <w:pPr>
        <w:pStyle w:val="Heading1"/>
      </w:pPr>
      <w:r>
        <w:t xml:space="preserve">Conference vs Journal Scope</w:t>
      </w:r>
    </w:p>
    <w:p>
      <w:pPr>
        <w:pStyle w:val="FirstParagraph"/>
      </w:pPr>
      <w:r>
        <w:t xml:space="preserve">Conference papers are</w:t>
      </w:r>
      <w:r>
        <w:t xml:space="preserve"> </w:t>
      </w:r>
      <w:r>
        <w:rPr>
          <w:b/>
          <w:bCs/>
        </w:rPr>
        <w:t xml:space="preserve">shorter and focused</w:t>
      </w:r>
      <w:r>
        <w:t xml:space="preserve">: they present a key idea or experimental result in a concise form (typically 4–8 pages)</w:t>
      </w:r>
      <w:hyperlink r:id="rId21">
        <w:r>
          <w:rPr>
            <w:rStyle w:val="Hyperlink"/>
          </w:rPr>
          <w:t xml:space="preserve">[1]</w:t>
        </w:r>
      </w:hyperlink>
      <w:r>
        <w:t xml:space="preserve">. The emphasis is on novelty and preliminary evaluation. In contrast, journal articles are</w:t>
      </w:r>
      <w:r>
        <w:t xml:space="preserve"> </w:t>
      </w:r>
      <w:r>
        <w:rPr>
          <w:b/>
          <w:bCs/>
        </w:rPr>
        <w:t xml:space="preserve">longer and deeper</w:t>
      </w:r>
      <w:r>
        <w:t xml:space="preserve"> </w:t>
      </w:r>
      <w:r>
        <w:t xml:space="preserve">(often 10–30+ pages) and require a comprehensive treatment: detailed background, full methodology, exhaustive experiments and analysis</w:t>
      </w:r>
      <w:hyperlink r:id="rId21">
        <w:r>
          <w:rPr>
            <w:rStyle w:val="Hyperlink"/>
          </w:rPr>
          <w:t xml:space="preserve">[1]</w:t>
        </w:r>
      </w:hyperlink>
      <w:hyperlink r:id="rId22">
        <w:r>
          <w:rPr>
            <w:rStyle w:val="Hyperlink"/>
          </w:rPr>
          <w:t xml:space="preserve">[2]</w:t>
        </w:r>
      </w:hyperlink>
      <w:r>
        <w:t xml:space="preserve">. Conferences have a faster review cycle and expect initial or work-in-progress results, whereas journals demand a</w:t>
      </w:r>
      <w:r>
        <w:t xml:space="preserve"> </w:t>
      </w:r>
      <w:r>
        <w:rPr>
          <w:b/>
          <w:bCs/>
        </w:rPr>
        <w:t xml:space="preserve">mature, archival-quality report</w:t>
      </w:r>
      <w:r>
        <w:t xml:space="preserve"> </w:t>
      </w:r>
      <w:r>
        <w:t xml:space="preserve">with substantially more content. For example, the IOP Publishing guidelines state that a journal submission expanding a conference paper should add at least ~30% new material and all necessary details so others can replicate the work</w:t>
      </w:r>
      <w:hyperlink r:id="rId22">
        <w:r>
          <w:rPr>
            <w:rStyle w:val="Hyperlink"/>
          </w:rPr>
          <w:t xml:space="preserve">[2]</w:t>
        </w:r>
      </w:hyperlink>
      <w:r>
        <w:t xml:space="preserve">.</w:t>
      </w:r>
    </w:p>
    <w:p>
      <w:pPr>
        <w:pStyle w:val="Compact"/>
        <w:numPr>
          <w:ilvl w:val="0"/>
          <w:numId w:val="1001"/>
        </w:numPr>
      </w:pPr>
      <w:r>
        <w:rPr>
          <w:i/>
          <w:iCs/>
        </w:rPr>
        <w:t xml:space="preserve">Key differences:</w:t>
      </w:r>
      <w:r>
        <w:t xml:space="preserve"> </w:t>
      </w:r>
      <w:r>
        <w:t xml:space="preserve">Conferences – concise, focused on core novelty; Journals – extensive with full context and proofs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i/>
          <w:iCs/>
        </w:rPr>
        <w:t xml:space="preserve">Review process:</w:t>
      </w:r>
      <w:r>
        <w:t xml:space="preserve"> </w:t>
      </w:r>
      <w:r>
        <w:t xml:space="preserve">Conference reviews are quicker and often less extensive; journal reviews are rigorous with multiple rounds.</w:t>
      </w:r>
    </w:p>
    <w:p>
      <w:pPr>
        <w:pStyle w:val="Compact"/>
        <w:numPr>
          <w:ilvl w:val="0"/>
          <w:numId w:val="1001"/>
        </w:numPr>
      </w:pPr>
      <w:r>
        <w:rPr>
          <w:i/>
          <w:iCs/>
        </w:rPr>
        <w:t xml:space="preserve">Length:</w:t>
      </w:r>
      <w:r>
        <w:t xml:space="preserve"> </w:t>
      </w:r>
      <w:r>
        <w:t xml:space="preserve">Conference ~4–8 pages; Journal typically &gt;10 pages</w:t>
      </w:r>
      <w:hyperlink r:id="rId21">
        <w:r>
          <w:rPr>
            <w:rStyle w:val="Hyperlink"/>
          </w:rPr>
          <w:t xml:space="preserve">[1]</w:t>
        </w:r>
      </w:hyperlink>
      <w:r>
        <w:t xml:space="preserve">. Journals allow lengthy literature reviews, detailed methods and analysis, whereas conference papers omit some detail.</w:t>
      </w:r>
    </w:p>
    <w:p>
      <w:pPr>
        <w:pStyle w:val="Compact"/>
        <w:numPr>
          <w:ilvl w:val="0"/>
          <w:numId w:val="1001"/>
        </w:numPr>
      </w:pPr>
      <w:r>
        <w:rPr>
          <w:i/>
          <w:iCs/>
        </w:rPr>
        <w:t xml:space="preserve">Outcome:</w:t>
      </w:r>
      <w:r>
        <w:t xml:space="preserve"> </w:t>
      </w:r>
      <w:r>
        <w:t xml:space="preserve">Conference papers can be a stepping stone – gather feedback and cite progress. A journal extension must clearly cite the conference version and highlight new contributions</w:t>
      </w:r>
      <w:hyperlink r:id="rId22">
        <w:r>
          <w:rPr>
            <w:rStyle w:val="Hyperlink"/>
          </w:rPr>
          <w:t xml:space="preserve">[2]</w:t>
        </w:r>
      </w:hyperlink>
      <w:r>
        <w:t xml:space="preserve">.</w:t>
      </w:r>
    </w:p>
    <w:bookmarkEnd w:id="23"/>
    <w:bookmarkStart w:id="28" w:name="X16655b9d27aab84c713f8f5f73596d92d694b6b"/>
    <w:p>
      <w:pPr>
        <w:pStyle w:val="Heading1"/>
      </w:pPr>
      <w:r>
        <w:t xml:space="preserve">Proposed Experimental Pipeline (Conference)</w:t>
      </w:r>
    </w:p>
    <w:p>
      <w:pPr>
        <w:pStyle w:val="FirstParagraph"/>
      </w:pPr>
      <w:r>
        <w:t xml:space="preserve">Design a clear step-by-step pipeline tailored to CASIA-B (a large gait dataset with calibrated views). A</w:t>
      </w:r>
      <w:r>
        <w:t xml:space="preserve"> </w:t>
      </w:r>
      <w:r>
        <w:rPr>
          <w:b/>
          <w:bCs/>
        </w:rPr>
        <w:t xml:space="preserve">typical gait-recognition pipeline</w:t>
      </w:r>
      <w:r>
        <w:t xml:space="preserve"> </w:t>
      </w:r>
      <w:r>
        <w:t xml:space="preserve">involves preprocessing, feature learning, and identification</w:t>
      </w:r>
      <w:hyperlink r:id="rId24">
        <w:r>
          <w:rPr>
            <w:rStyle w:val="Hyperlink"/>
          </w:rPr>
          <w:t xml:space="preserve">[3]</w:t>
        </w:r>
      </w:hyperlink>
      <w:r>
        <w:t xml:space="preserve">:</w:t>
      </w:r>
    </w:p>
    <w:p>
      <w:pPr>
        <w:pStyle w:val="Compact"/>
        <w:numPr>
          <w:ilvl w:val="0"/>
          <w:numId w:val="1002"/>
        </w:numPr>
      </w:pPr>
      <w:r>
        <w:rPr>
          <w:b/>
          <w:bCs/>
        </w:rPr>
        <w:t xml:space="preserve">Data preparation:</w:t>
      </w:r>
      <w:r>
        <w:t xml:space="preserve"> </w:t>
      </w:r>
      <w:r>
        <w:t xml:space="preserve">Download and organize CASIA-B. The dataset provides multi-view silhouette sequences. (You may use the provided silhouettes or re-segment raw video frames with modern algorithms for cleaner masks</w:t>
      </w:r>
      <w:hyperlink r:id="rId25">
        <w:r>
          <w:rPr>
            <w:rStyle w:val="Hyperlink"/>
          </w:rPr>
          <w:t xml:space="preserve">[4]</w:t>
        </w:r>
      </w:hyperlink>
      <w:r>
        <w:t xml:space="preserve">.) Normalize/crop each subject’s silhouette (CASIA-B* version, for example, uses deep pedestrian tracking and segmentation to produce aligned silhouettes</w:t>
      </w:r>
      <w:hyperlink r:id="rId25">
        <w:r>
          <w:rPr>
            <w:rStyle w:val="Hyperlink"/>
          </w:rPr>
          <w:t xml:space="preserve">[4]</w:t>
        </w:r>
      </w:hyperlink>
      <w:r>
        <w:t xml:space="preserve">).</w:t>
      </w:r>
    </w:p>
    <w:p>
      <w:pPr>
        <w:pStyle w:val="Compact"/>
        <w:numPr>
          <w:ilvl w:val="0"/>
          <w:numId w:val="1002"/>
        </w:numPr>
      </w:pPr>
      <w:r>
        <w:rPr>
          <w:b/>
          <w:bCs/>
        </w:rPr>
        <w:t xml:space="preserve">Train/Test split:</w:t>
      </w:r>
      <w:r>
        <w:t xml:space="preserve"> </w:t>
      </w:r>
      <w:r>
        <w:t xml:space="preserve">Follow established protocols. E.g. use a subset of subjects for training and the rest for testing. Often, CASIA-B is evaluated under “normal”, “bag”, and “coat” conditions across all view angles. Choose one view (or a set of views) for training and test on others for cross-view evaluation.</w:t>
      </w:r>
    </w:p>
    <w:p>
      <w:pPr>
        <w:pStyle w:val="Compact"/>
        <w:numPr>
          <w:ilvl w:val="0"/>
          <w:numId w:val="1002"/>
        </w:numPr>
      </w:pPr>
      <w:r>
        <w:rPr>
          <w:b/>
          <w:bCs/>
        </w:rPr>
        <w:t xml:space="preserve">Feature extraction:</w:t>
      </w:r>
      <w:r>
        <w:t xml:space="preserve"> </w:t>
      </w:r>
      <w:r>
        <w:t xml:space="preserve">Feed silhouettes (or derived features like Gait Energy Images) into a deep model. A backbone CNN extracts frame-level features, followed by spatial-temporal pooling. Early papers used GEIs (averaged silhouettes) with CNNs</w:t>
      </w:r>
      <w:hyperlink r:id="rId26">
        <w:r>
          <w:rPr>
            <w:rStyle w:val="Hyperlink"/>
          </w:rPr>
          <w:t xml:space="preserve">[5]</w:t>
        </w:r>
      </w:hyperlink>
      <w:r>
        <w:t xml:space="preserve">, but modern methods often take the full video sequence as input. (For example, many models first apply foreground segmentation and alignment, then use 2D/3D CNNs or Transformers to learn features</w:t>
      </w:r>
      <w:hyperlink r:id="rId24">
        <w:r>
          <w:rPr>
            <w:rStyle w:val="Hyperlink"/>
          </w:rPr>
          <w:t xml:space="preserve">[3]</w:t>
        </w:r>
      </w:hyperlink>
      <w:hyperlink r:id="rId27">
        <w:r>
          <w:rPr>
            <w:rStyle w:val="Hyperlink"/>
          </w:rPr>
          <w:t xml:space="preserve">[6]</w:t>
        </w:r>
      </w:hyperlink>
      <w:r>
        <w:t xml:space="preserve">.)</w:t>
      </w:r>
    </w:p>
    <w:p>
      <w:pPr>
        <w:pStyle w:val="Compact"/>
        <w:numPr>
          <w:ilvl w:val="0"/>
          <w:numId w:val="1002"/>
        </w:numPr>
      </w:pPr>
      <w:r>
        <w:rPr>
          <w:b/>
          <w:bCs/>
        </w:rPr>
        <w:t xml:space="preserve">Model training:</w:t>
      </w:r>
      <w:r>
        <w:t xml:space="preserve"> </w:t>
      </w:r>
      <w:r>
        <w:t xml:space="preserve">Train with an identification loss (e.g. cross-entropy) or embedding loss (e.g. triplet loss) on the training set. Use data augmentation for viewpoint and appearance changes (mirroring, slight rotation). Consider a simple baseline like GEI+CNN or even an SVM on handcrafted features as a sanity check.</w:t>
      </w:r>
    </w:p>
    <w:p>
      <w:pPr>
        <w:pStyle w:val="Compact"/>
        <w:numPr>
          <w:ilvl w:val="0"/>
          <w:numId w:val="1002"/>
        </w:numPr>
      </w:pPr>
      <w:r>
        <w:rPr>
          <w:b/>
          <w:bCs/>
        </w:rPr>
        <w:t xml:space="preserve">Evaluation:</w:t>
      </w:r>
      <w:r>
        <w:t xml:space="preserve"> </w:t>
      </w:r>
      <w:r>
        <w:t xml:space="preserve">Test on held-out subjects and conditions. Report identification accuracy (Rank-1, Rank-5 etc.) and possibly ROC curves. In gait literature,</w:t>
      </w:r>
      <w:r>
        <w:t xml:space="preserve"> </w:t>
      </w:r>
      <w:r>
        <w:rPr>
          <w:b/>
          <w:bCs/>
        </w:rPr>
        <w:t xml:space="preserve">Rank-1 accuracy</w:t>
      </w:r>
      <w:r>
        <w:t xml:space="preserve"> </w:t>
      </w:r>
      <w:r>
        <w:t xml:space="preserve">is standard. For example, a recent vision-transformer model achieved 99.93% rank-1 on CASIA-B</w:t>
      </w:r>
      <w:hyperlink r:id="rId27">
        <w:r>
          <w:rPr>
            <w:rStyle w:val="Hyperlink"/>
          </w:rPr>
          <w:t xml:space="preserve">[6]</w:t>
        </w:r>
      </w:hyperlink>
      <w:r>
        <w:t xml:space="preserve">. Use this metric to compare against state-of-the-art (e.g. GaitSet/GaitPart etc.).</w:t>
      </w:r>
    </w:p>
    <w:p>
      <w:pPr>
        <w:pStyle w:val="FirstParagraph"/>
      </w:pPr>
      <w:r>
        <w:t xml:space="preserve">Each step should be documented. Ensure your code and data splits are reproducible (others must replicate results). For a conference, focus on the core pipeline (maybe implement one or two strong models) and present clear results in tables/figures.</w:t>
      </w:r>
    </w:p>
    <w:bookmarkEnd w:id="28"/>
    <w:bookmarkStart w:id="34" w:name="recommended-models-and-methods"/>
    <w:p>
      <w:pPr>
        <w:pStyle w:val="Heading1"/>
      </w:pPr>
      <w:r>
        <w:t xml:space="preserve">Recommended Models and Methods</w:t>
      </w:r>
    </w:p>
    <w:p>
      <w:pPr>
        <w:pStyle w:val="FirstParagraph"/>
      </w:pPr>
      <w:r>
        <w:t xml:space="preserve">For a strong conference paper, compare and build upon known gait-recognition architectures. Key approaches include:</w:t>
      </w:r>
    </w:p>
    <w:p>
      <w:pPr>
        <w:pStyle w:val="Compact"/>
        <w:numPr>
          <w:ilvl w:val="0"/>
          <w:numId w:val="1003"/>
        </w:numPr>
      </w:pPr>
      <w:r>
        <w:rPr>
          <w:b/>
          <w:bCs/>
        </w:rPr>
        <w:t xml:space="preserve">Silhouette-based CNNs:</w:t>
      </w:r>
      <w:r>
        <w:t xml:space="preserve"> </w:t>
      </w:r>
      <w:r>
        <w:t xml:space="preserve">Many state-of-the-art models use deep convolutional networks on silhouette sequences. Notable examples are</w:t>
      </w:r>
      <w:r>
        <w:t xml:space="preserve"> </w:t>
      </w:r>
      <w:r>
        <w:rPr>
          <w:b/>
          <w:bCs/>
        </w:rPr>
        <w:t xml:space="preserve">GaitSet</w:t>
      </w:r>
      <w:r>
        <w:t xml:space="preserve"> </w:t>
      </w:r>
      <w:r>
        <w:t xml:space="preserve">and</w:t>
      </w:r>
      <w:r>
        <w:t xml:space="preserve"> </w:t>
      </w:r>
      <w:r>
        <w:rPr>
          <w:b/>
          <w:bCs/>
        </w:rPr>
        <w:t xml:space="preserve">GaitPart</w:t>
      </w:r>
      <w:r>
        <w:t xml:space="preserve">. GaitSet treats each sequence as an unordered set and uses a 10-layer CNN to learn gait features</w:t>
      </w:r>
      <w:hyperlink r:id="rId26">
        <w:r>
          <w:rPr>
            <w:rStyle w:val="Hyperlink"/>
          </w:rPr>
          <w:t xml:space="preserve">[5]</w:t>
        </w:r>
      </w:hyperlink>
      <w:r>
        <w:t xml:space="preserve">. GaitPart (CVPR 2020) splits each silhouette into fixed horizontal stripes and learns multi-scale features</w:t>
      </w:r>
      <w:hyperlink r:id="rId29">
        <w:r>
          <w:rPr>
            <w:rStyle w:val="Hyperlink"/>
          </w:rPr>
          <w:t xml:space="preserve">[7]</w:t>
        </w:r>
      </w:hyperlink>
      <w:r>
        <w:t xml:space="preserve">. Other strong CNN-based methods include GLN (ECCV’20, compact 256-D features)</w:t>
      </w:r>
      <w:hyperlink r:id="rId29">
        <w:r>
          <w:rPr>
            <w:rStyle w:val="Hyperlink"/>
          </w:rPr>
          <w:t xml:space="preserve">[7]</w:t>
        </w:r>
      </w:hyperlink>
      <w:r>
        <w:t xml:space="preserve">, GaitGL (ICCV’21, global+local feature fusion)</w:t>
      </w:r>
      <w:hyperlink r:id="rId30">
        <w:r>
          <w:rPr>
            <w:rStyle w:val="Hyperlink"/>
          </w:rPr>
          <w:t xml:space="preserve">[8]</w:t>
        </w:r>
      </w:hyperlink>
      <w:r>
        <w:t xml:space="preserve">, and CSTL (ICCV’21, multi-scale temporal learning)</w:t>
      </w:r>
      <w:hyperlink r:id="rId31">
        <w:r>
          <w:rPr>
            <w:rStyle w:val="Hyperlink"/>
          </w:rPr>
          <w:t xml:space="preserve">[9]</w:t>
        </w:r>
      </w:hyperlink>
      <w:r>
        <w:t xml:space="preserve">. These papers report very high accuracy on CASIA-B (often 90–99%+). For a baseline, re-implement one (e.g. a 2D-CNN on GEI or GaitSet) to establish reference performance.</w:t>
      </w:r>
    </w:p>
    <w:p>
      <w:pPr>
        <w:pStyle w:val="Compact"/>
        <w:numPr>
          <w:ilvl w:val="0"/>
          <w:numId w:val="1003"/>
        </w:numPr>
      </w:pPr>
      <w:r>
        <w:rPr>
          <w:b/>
          <w:bCs/>
        </w:rPr>
        <w:t xml:space="preserve">Vision Transformers:</w:t>
      </w:r>
      <w:r>
        <w:t xml:space="preserve"> </w:t>
      </w:r>
      <w:r>
        <w:t xml:space="preserve">Recently, transformer-based models have been applied. The</w:t>
      </w:r>
      <w:r>
        <w:t xml:space="preserve"> </w:t>
      </w:r>
      <w:r>
        <w:rPr>
          <w:b/>
          <w:bCs/>
        </w:rPr>
        <w:t xml:space="preserve">Gait-ViT</w:t>
      </w:r>
      <w:r>
        <w:t xml:space="preserve"> </w:t>
      </w:r>
      <w:r>
        <w:t xml:space="preserve">(Sensors 2022) treats a Gait Energy Image as input and uses a Vision Transformer encoder. Remarkably, Gait-ViT achieved ~99.93% rank-1 on CASIA-B</w:t>
      </w:r>
      <w:hyperlink r:id="rId27">
        <w:r>
          <w:rPr>
            <w:rStyle w:val="Hyperlink"/>
          </w:rPr>
          <w:t xml:space="preserve">[6]</w:t>
        </w:r>
      </w:hyperlink>
      <w:r>
        <w:t xml:space="preserve">. Transformers can model long-range dependencies in the gait sequence. Exploring a ViT or hybrid CNN-Transformer model could be a conference contribution.</w:t>
      </w:r>
    </w:p>
    <w:p>
      <w:pPr>
        <w:pStyle w:val="Compact"/>
        <w:numPr>
          <w:ilvl w:val="0"/>
          <w:numId w:val="1003"/>
        </w:numPr>
      </w:pPr>
      <w:r>
        <w:rPr>
          <w:b/>
          <w:bCs/>
        </w:rPr>
        <w:t xml:space="preserve">Multi-stream and multi-modal:</w:t>
      </w:r>
      <w:r>
        <w:t xml:space="preserve"> </w:t>
      </w:r>
      <w:r>
        <w:t xml:space="preserve">Some methods fuse different inputs. For instance,</w:t>
      </w:r>
      <w:r>
        <w:t xml:space="preserve"> </w:t>
      </w:r>
      <w:r>
        <w:rPr>
          <w:i/>
          <w:iCs/>
        </w:rPr>
        <w:t xml:space="preserve">XGait</w:t>
      </w:r>
      <w:r>
        <w:t xml:space="preserve"> </w:t>
      </w:r>
      <w:r>
        <w:t xml:space="preserve">(ACM MM 2024) processes both silhouettes and fine-grained human-parsing maps in parallel CNN branches and aligns them</w:t>
      </w:r>
      <w:hyperlink r:id="rId32">
        <w:r>
          <w:rPr>
            <w:rStyle w:val="Hyperlink"/>
          </w:rPr>
          <w:t xml:space="preserve">[10]</w:t>
        </w:r>
      </w:hyperlink>
      <w:r>
        <w:t xml:space="preserve">. One could consider extending such ideas (e.g. combining RGB, depth or skeleton data if available).</w:t>
      </w:r>
    </w:p>
    <w:p>
      <w:pPr>
        <w:pStyle w:val="Compact"/>
        <w:numPr>
          <w:ilvl w:val="0"/>
          <w:numId w:val="1003"/>
        </w:numPr>
      </w:pPr>
      <w:r>
        <w:rPr>
          <w:b/>
          <w:bCs/>
        </w:rPr>
        <w:t xml:space="preserve">Graph/skeleton-based models:</w:t>
      </w:r>
      <w:r>
        <w:t xml:space="preserve"> </w:t>
      </w:r>
      <w:r>
        <w:t xml:space="preserve">On datasets with pose data, Graph Convolutional Networks (GCNs) can be used (e.g. PoseGait, GaitGraph). While CASIA-B primarily has silhouettes, you could use a pose estimator (OpenPose) and feed joint sequences into a GCN. These approaches are less common on CASIA-B but are worth mentioning for background.</w:t>
      </w:r>
    </w:p>
    <w:p>
      <w:pPr>
        <w:pStyle w:val="FirstParagraph"/>
      </w:pPr>
      <w:r>
        <w:rPr>
          <w:b/>
          <w:bCs/>
        </w:rPr>
        <w:t xml:space="preserve">Citing examples:</w:t>
      </w:r>
      <w:r>
        <w:t xml:space="preserve"> </w:t>
      </w:r>
      <w:r>
        <w:t xml:space="preserve">GEINet (a simple 4-layer CNN on GEIs) and GaitSet are widely cited</w:t>
      </w:r>
      <w:hyperlink r:id="rId26">
        <w:r>
          <w:rPr>
            <w:rStyle w:val="Hyperlink"/>
          </w:rPr>
          <w:t xml:space="preserve">[5]</w:t>
        </w:r>
      </w:hyperlink>
      <w:r>
        <w:t xml:space="preserve">. GLN and GaitGL are top-tier methods</w:t>
      </w:r>
      <w:hyperlink r:id="rId33">
        <w:r>
          <w:rPr>
            <w:rStyle w:val="Hyperlink"/>
          </w:rPr>
          <w:t xml:space="preserve">[11]</w:t>
        </w:r>
      </w:hyperlink>
      <w:r>
        <w:t xml:space="preserve">. Gait-ViT uses Transformers with attention</w:t>
      </w:r>
      <w:hyperlink r:id="rId27">
        <w:r>
          <w:rPr>
            <w:rStyle w:val="Hyperlink"/>
          </w:rPr>
          <w:t xml:space="preserve">[6]</w:t>
        </w:r>
      </w:hyperlink>
      <w:r>
        <w:t xml:space="preserve">. You should review these papers and perhaps cite them for model ideas. In your paper, clearly compare your method’s accuracy against a few of these baselines.</w:t>
      </w:r>
    </w:p>
    <w:bookmarkEnd w:id="34"/>
    <w:bookmarkStart w:id="35" w:name="upgrading-to-a-q1-journal"/>
    <w:p>
      <w:pPr>
        <w:pStyle w:val="Heading1"/>
      </w:pPr>
      <w:r>
        <w:t xml:space="preserve">Upgrading to a Q1 Journal</w:t>
      </w:r>
    </w:p>
    <w:p>
      <w:pPr>
        <w:pStyle w:val="FirstParagraph"/>
      </w:pPr>
      <w:r>
        <w:t xml:space="preserve">To prepare a journal extension (especially aiming for a high-impact Q1 journal),</w:t>
      </w:r>
      <w:r>
        <w:t xml:space="preserve"> </w:t>
      </w:r>
      <w:r>
        <w:rPr>
          <w:b/>
          <w:bCs/>
        </w:rPr>
        <w:t xml:space="preserve">significantly expand</w:t>
      </w:r>
      <w:r>
        <w:t xml:space="preserve"> </w:t>
      </w:r>
      <w:r>
        <w:t xml:space="preserve">the conference work:</w:t>
      </w:r>
    </w:p>
    <w:p>
      <w:pPr>
        <w:pStyle w:val="Compact"/>
        <w:numPr>
          <w:ilvl w:val="0"/>
          <w:numId w:val="1004"/>
        </w:numPr>
      </w:pPr>
      <w:r>
        <w:rPr>
          <w:b/>
          <w:bCs/>
        </w:rPr>
        <w:t xml:space="preserve">Additional experiments:</w:t>
      </w:r>
      <w:r>
        <w:t xml:space="preserve"> </w:t>
      </w:r>
      <w:r>
        <w:t xml:space="preserve">Go beyond the minimal conference setup. For example, evaluate on all view angles and conditions of CASIA-B (normal, bag, coat). You might also test on related datasets (e.g. OU-MVLP, OU-ISIR-LP or Gait3D for “in-the-wild” gait</w:t>
      </w:r>
      <w:hyperlink r:id="rId27">
        <w:r>
          <w:rPr>
            <w:rStyle w:val="Hyperlink"/>
          </w:rPr>
          <w:t xml:space="preserve">[6]</w:t>
        </w:r>
      </w:hyperlink>
      <w:r>
        <w:t xml:space="preserve">). Show robustness to covariates like clothing, speed, occlusion. Include statistical analyses or error breakdowns.</w:t>
      </w:r>
    </w:p>
    <w:p>
      <w:pPr>
        <w:pStyle w:val="Compact"/>
        <w:numPr>
          <w:ilvl w:val="0"/>
          <w:numId w:val="1004"/>
        </w:numPr>
      </w:pPr>
      <w:r>
        <w:rPr>
          <w:b/>
          <w:bCs/>
        </w:rPr>
        <w:t xml:space="preserve">New contributions (≥30% extra):</w:t>
      </w:r>
      <w:r>
        <w:t xml:space="preserve"> </w:t>
      </w:r>
      <w:r>
        <w:t xml:space="preserve">Add novel technical contributions or theoretical analysis. Maybe introduce an extra module (e.g. an attention mechanism or data augmentation technique) and ablate it. Derive some mathematical insight or add an explicit metric-learning component. Whatever you add must meaningfully extend the core conference idea. According to IOP guidelines, a journal submission must contain substantial new results or material beyond the conference version</w:t>
      </w:r>
      <w:hyperlink r:id="rId22">
        <w:r>
          <w:rPr>
            <w:rStyle w:val="Hyperlink"/>
          </w:rPr>
          <w:t xml:space="preserve">[2]</w:t>
        </w:r>
      </w:hyperlink>
      <w:r>
        <w:t xml:space="preserve">.</w:t>
      </w:r>
    </w:p>
    <w:p>
      <w:pPr>
        <w:pStyle w:val="Compact"/>
        <w:numPr>
          <w:ilvl w:val="0"/>
          <w:numId w:val="1004"/>
        </w:numPr>
      </w:pPr>
      <w:r>
        <w:rPr>
          <w:b/>
          <w:bCs/>
        </w:rPr>
        <w:t xml:space="preserve">Depth of content:</w:t>
      </w:r>
      <w:r>
        <w:t xml:space="preserve"> </w:t>
      </w:r>
      <w:r>
        <w:t xml:space="preserve">Provide a more comprehensive literature review, detailed methodology, and related work section. Include proofs or algorithmic complexity analysis if relevant. Describe your experiments fully: data preprocessing parameters, hyperparameters, and evaluation protocols. Journals allow much more space, so leverage that for clarity.</w:t>
      </w:r>
    </w:p>
    <w:p>
      <w:pPr>
        <w:pStyle w:val="Compact"/>
        <w:numPr>
          <w:ilvl w:val="0"/>
          <w:numId w:val="1004"/>
        </w:numPr>
      </w:pPr>
      <w:r>
        <w:rPr>
          <w:b/>
          <w:bCs/>
        </w:rPr>
        <w:t xml:space="preserve">Ablation and analysis:</w:t>
      </w:r>
      <w:r>
        <w:t xml:space="preserve"> </w:t>
      </w:r>
      <w:r>
        <w:t xml:space="preserve">Perform ablations on architecture choices (e.g. number of layers, feature dimensions) and training settings. Analyze failure cases or success cases. Maybe visualize learned features or attention maps. The more you explain</w:t>
      </w:r>
      <w:r>
        <w:t xml:space="preserve"> </w:t>
      </w:r>
      <w:r>
        <w:rPr>
          <w:i/>
          <w:iCs/>
        </w:rPr>
        <w:t xml:space="preserve">why</w:t>
      </w:r>
      <w:r>
        <w:t xml:space="preserve"> </w:t>
      </w:r>
      <w:r>
        <w:t xml:space="preserve">your model works (or why it sometimes fails), the stronger the journal paper.</w:t>
      </w:r>
    </w:p>
    <w:p>
      <w:pPr>
        <w:pStyle w:val="FirstParagraph"/>
      </w:pPr>
      <w:r>
        <w:t xml:space="preserve">Citations [14†L94-L98] and [29†L111-L119] highlight that journals require detailed exposition and new content. For example, explicitly mention the conference version in your intro and enumerate what new sections or results you added. This makes it clear to reviewers that the journal paper is a mature, in-depth work.</w:t>
      </w:r>
    </w:p>
    <w:bookmarkEnd w:id="35"/>
    <w:bookmarkStart w:id="37" w:name="additional-suggestions"/>
    <w:p>
      <w:pPr>
        <w:pStyle w:val="Heading1"/>
      </w:pPr>
      <w:r>
        <w:t xml:space="preserve">Additional Suggestions</w:t>
      </w:r>
    </w:p>
    <w:p>
      <w:pPr>
        <w:pStyle w:val="Compact"/>
        <w:numPr>
          <w:ilvl w:val="0"/>
          <w:numId w:val="1005"/>
        </w:numPr>
      </w:pPr>
      <w:r>
        <w:rPr>
          <w:b/>
          <w:bCs/>
        </w:rPr>
        <w:t xml:space="preserve">Preprocessing improvements:</w:t>
      </w:r>
      <w:r>
        <w:t xml:space="preserve"> </w:t>
      </w:r>
      <w:r>
        <w:t xml:space="preserve">Consider modern segmentation or tracking methods to clean up silhouettes</w:t>
      </w:r>
      <w:hyperlink r:id="rId25">
        <w:r>
          <w:rPr>
            <w:rStyle w:val="Hyperlink"/>
          </w:rPr>
          <w:t xml:space="preserve">[4]</w:t>
        </w:r>
      </w:hyperlink>
      <w:r>
        <w:t xml:space="preserve">. For example, using a state-of-the-art person detector (YOLOv8+ByteTrack) can improve silhouette quality and thus recognition accuracy.</w:t>
      </w:r>
    </w:p>
    <w:p>
      <w:pPr>
        <w:pStyle w:val="Compact"/>
        <w:numPr>
          <w:ilvl w:val="0"/>
          <w:numId w:val="1005"/>
        </w:numPr>
      </w:pPr>
      <w:r>
        <w:rPr>
          <w:b/>
          <w:bCs/>
        </w:rPr>
        <w:t xml:space="preserve">Augmentation:</w:t>
      </w:r>
      <w:r>
        <w:t xml:space="preserve"> </w:t>
      </w:r>
      <w:r>
        <w:t xml:space="preserve">Gait can vary with speed and style. Use data augmentation (random speed changes, slight rotations) or synthetic data (GANs) to boost robustness.</w:t>
      </w:r>
    </w:p>
    <w:p>
      <w:pPr>
        <w:pStyle w:val="Compact"/>
        <w:numPr>
          <w:ilvl w:val="0"/>
          <w:numId w:val="1005"/>
        </w:numPr>
      </w:pPr>
      <w:r>
        <w:rPr>
          <w:b/>
          <w:bCs/>
        </w:rPr>
        <w:t xml:space="preserve">Self-supervised pretraining:</w:t>
      </w:r>
      <w:r>
        <w:t xml:space="preserve"> </w:t>
      </w:r>
      <w:r>
        <w:t xml:space="preserve">Some recent papers use self-supervised learning to pretrain on large unlabeled gait data and then fine-tune</w:t>
      </w:r>
      <w:hyperlink r:id="rId27">
        <w:r>
          <w:rPr>
            <w:rStyle w:val="Hyperlink"/>
          </w:rPr>
          <w:t xml:space="preserve">[6]</w:t>
        </w:r>
      </w:hyperlink>
      <w:r>
        <w:t xml:space="preserve">. This can give a performance boost.</w:t>
      </w:r>
    </w:p>
    <w:p>
      <w:pPr>
        <w:pStyle w:val="Compact"/>
        <w:numPr>
          <w:ilvl w:val="0"/>
          <w:numId w:val="1005"/>
        </w:numPr>
      </w:pPr>
      <w:r>
        <w:rPr>
          <w:b/>
          <w:bCs/>
        </w:rPr>
        <w:t xml:space="preserve">Metrics beyond accuracy:</w:t>
      </w:r>
      <w:r>
        <w:t xml:space="preserve"> </w:t>
      </w:r>
      <w:r>
        <w:t xml:space="preserve">For a journal, you might report additional metrics (e.g. ROC AUC, precision/recall) especially if you consider detection or open-set scenarios (as in Gait3D</w:t>
      </w:r>
      <w:hyperlink r:id="rId36">
        <w:r>
          <w:rPr>
            <w:rStyle w:val="Hyperlink"/>
          </w:rPr>
          <w:t xml:space="preserve">[12]</w:t>
        </w:r>
      </w:hyperlink>
      <w:r>
        <w:t xml:space="preserve">).</w:t>
      </w:r>
    </w:p>
    <w:p>
      <w:pPr>
        <w:pStyle w:val="Compact"/>
        <w:numPr>
          <w:ilvl w:val="0"/>
          <w:numId w:val="1005"/>
        </w:numPr>
      </w:pPr>
      <w:r>
        <w:rPr>
          <w:b/>
          <w:bCs/>
        </w:rPr>
        <w:t xml:space="preserve">Ethical considerations:</w:t>
      </w:r>
      <w:r>
        <w:t xml:space="preserve"> </w:t>
      </w:r>
      <w:r>
        <w:t xml:space="preserve">Gait recognition has privacy implications. For a journal audience, a brief discussion on ethics or dataset bias (gender, age) can be a valuable addition.</w:t>
      </w:r>
    </w:p>
    <w:p>
      <w:pPr>
        <w:pStyle w:val="FirstParagraph"/>
      </w:pPr>
      <w:r>
        <w:t xml:space="preserve">Overall, for conference aim to demonstrate a</w:t>
      </w:r>
      <w:r>
        <w:t xml:space="preserve"> </w:t>
      </w:r>
      <w:r>
        <w:rPr>
          <w:b/>
          <w:bCs/>
        </w:rPr>
        <w:t xml:space="preserve">working system</w:t>
      </w:r>
      <w:r>
        <w:t xml:space="preserve"> </w:t>
      </w:r>
      <w:r>
        <w:t xml:space="preserve">with clear gains over baselines. For journal, emphasize thoroughness: richer experiments, more baselines, and deeper insight.</w:t>
      </w:r>
    </w:p>
    <w:bookmarkEnd w:id="37"/>
    <w:bookmarkStart w:id="40" w:name="suggested-readings-and-resources"/>
    <w:p>
      <w:pPr>
        <w:pStyle w:val="Heading1"/>
      </w:pPr>
      <w:r>
        <w:t xml:space="preserve">Suggested Readings and Resources</w:t>
      </w:r>
    </w:p>
    <w:p>
      <w:pPr>
        <w:pStyle w:val="FirstParagraph"/>
      </w:pPr>
      <w:r>
        <w:t xml:space="preserve">To build familiarity and inspiration, consult the following key papers:</w:t>
      </w:r>
    </w:p>
    <w:p>
      <w:pPr>
        <w:pStyle w:val="Compact"/>
        <w:numPr>
          <w:ilvl w:val="0"/>
          <w:numId w:val="1006"/>
        </w:numPr>
      </w:pPr>
      <w:r>
        <w:rPr>
          <w:b/>
          <w:bCs/>
        </w:rPr>
        <w:t xml:space="preserve">Surveys:</w:t>
      </w:r>
      <w:r>
        <w:t xml:space="preserve"> </w:t>
      </w:r>
      <w:r>
        <w:rPr>
          <w:i/>
          <w:iCs/>
        </w:rPr>
        <w:t xml:space="preserve">“A Comprehensive Survey on Deep Gait Recognition”</w:t>
      </w:r>
      <w:r>
        <w:t xml:space="preserve"> </w:t>
      </w:r>
      <w:r>
        <w:t xml:space="preserve">(Wang</w:t>
      </w:r>
      <w:r>
        <w:t xml:space="preserve"> </w:t>
      </w:r>
      <w:r>
        <w:rPr>
          <w:i/>
          <w:iCs/>
        </w:rPr>
        <w:t xml:space="preserve">et al.</w:t>
      </w:r>
      <w:r>
        <w:t xml:space="preserve">, 2022) and</w:t>
      </w:r>
      <w:r>
        <w:t xml:space="preserve"> </w:t>
      </w:r>
      <w:r>
        <w:rPr>
          <w:i/>
          <w:iCs/>
        </w:rPr>
        <w:t xml:space="preserve">“Person Recognition Based on Deep Gait: A Survey”</w:t>
      </w:r>
      <w:r>
        <w:t xml:space="preserve"> </w:t>
      </w:r>
      <w:r>
        <w:t xml:space="preserve">(Abdi</w:t>
      </w:r>
      <w:r>
        <w:t xml:space="preserve"> </w:t>
      </w:r>
      <w:r>
        <w:rPr>
          <w:i/>
          <w:iCs/>
        </w:rPr>
        <w:t xml:space="preserve">et al.</w:t>
      </w:r>
      <w:r>
        <w:t xml:space="preserve">, 2022) provide overviews of pipelines and methods</w:t>
      </w:r>
      <w:hyperlink r:id="rId24">
        <w:r>
          <w:rPr>
            <w:rStyle w:val="Hyperlink"/>
          </w:rPr>
          <w:t xml:space="preserve">[3]</w:t>
        </w:r>
      </w:hyperlink>
      <w:hyperlink r:id="rId38">
        <w:r>
          <w:rPr>
            <w:rStyle w:val="Hyperlink"/>
          </w:rPr>
          <w:t xml:space="preserve">[13]</w:t>
        </w:r>
      </w:hyperlink>
      <w:r>
        <w:t xml:space="preserve">. These explain typical workflows (segmentation, alignment, CNN backbones) and show how state-of-art accuracy on CASIA-B has improved over time (from ~84% in 2019 to ~99.9% in 2022</w:t>
      </w:r>
      <w:hyperlink r:id="rId38">
        <w:r>
          <w:rPr>
            <w:rStyle w:val="Hyperlink"/>
          </w:rPr>
          <w:t xml:space="preserve">[13]</w:t>
        </w:r>
      </w:hyperlink>
      <w:r>
        <w:t xml:space="preserve">).</w:t>
      </w:r>
    </w:p>
    <w:p>
      <w:pPr>
        <w:pStyle w:val="Compact"/>
        <w:numPr>
          <w:ilvl w:val="0"/>
          <w:numId w:val="1006"/>
        </w:numPr>
      </w:pPr>
      <w:r>
        <w:rPr>
          <w:b/>
          <w:bCs/>
        </w:rPr>
        <w:t xml:space="preserve">Model papers:</w:t>
      </w:r>
      <w:r>
        <w:t xml:space="preserve"> </w:t>
      </w:r>
      <w:r>
        <w:t xml:space="preserve">Original papers for top methods are must-reads. For example,</w:t>
      </w:r>
      <w:r>
        <w:t xml:space="preserve"> </w:t>
      </w:r>
      <w:r>
        <w:rPr>
          <w:b/>
          <w:bCs/>
        </w:rPr>
        <w:t xml:space="preserve">GaitSet</w:t>
      </w:r>
      <w:r>
        <w:t xml:space="preserve"> </w:t>
      </w:r>
      <w:r>
        <w:t xml:space="preserve">(AAAI 2019) and</w:t>
      </w:r>
      <w:r>
        <w:t xml:space="preserve"> </w:t>
      </w:r>
      <w:r>
        <w:rPr>
          <w:b/>
          <w:bCs/>
        </w:rPr>
        <w:t xml:space="preserve">GaitPart</w:t>
      </w:r>
      <w:r>
        <w:t xml:space="preserve"> </w:t>
      </w:r>
      <w:r>
        <w:t xml:space="preserve">(CVPR 2020) introduced the set-based and part-based CNNs</w:t>
      </w:r>
      <w:hyperlink r:id="rId39">
        <w:r>
          <w:rPr>
            <w:rStyle w:val="Hyperlink"/>
          </w:rPr>
          <w:t xml:space="preserve">[14]</w:t>
        </w:r>
      </w:hyperlink>
      <w:r>
        <w:t xml:space="preserve">.</w:t>
      </w:r>
      <w:r>
        <w:t xml:space="preserve"> </w:t>
      </w:r>
      <w:r>
        <w:rPr>
          <w:b/>
          <w:bCs/>
        </w:rPr>
        <w:t xml:space="preserve">GaitGL</w:t>
      </w:r>
      <w:r>
        <w:t xml:space="preserve"> </w:t>
      </w:r>
      <w:r>
        <w:t xml:space="preserve">(ICCV 2021) introduces a global-local 3D-CNN model</w:t>
      </w:r>
      <w:hyperlink r:id="rId30">
        <w:r>
          <w:rPr>
            <w:rStyle w:val="Hyperlink"/>
          </w:rPr>
          <w:t xml:space="preserve">[8]</w:t>
        </w:r>
      </w:hyperlink>
      <w:r>
        <w:t xml:space="preserve">.</w:t>
      </w:r>
      <w:r>
        <w:t xml:space="preserve"> </w:t>
      </w:r>
      <w:r>
        <w:rPr>
          <w:b/>
          <w:bCs/>
        </w:rPr>
        <w:t xml:space="preserve">GLN</w:t>
      </w:r>
      <w:r>
        <w:t xml:space="preserve"> </w:t>
      </w:r>
      <w:r>
        <w:t xml:space="preserve">(ECCV 2020) and</w:t>
      </w:r>
      <w:r>
        <w:t xml:space="preserve"> </w:t>
      </w:r>
      <w:r>
        <w:rPr>
          <w:b/>
          <w:bCs/>
        </w:rPr>
        <w:t xml:space="preserve">CSTL</w:t>
      </w:r>
      <w:r>
        <w:t xml:space="preserve"> </w:t>
      </w:r>
      <w:r>
        <w:t xml:space="preserve">(ICCV 2021) also offer different innovations</w:t>
      </w:r>
      <w:hyperlink r:id="rId33">
        <w:r>
          <w:rPr>
            <w:rStyle w:val="Hyperlink"/>
          </w:rPr>
          <w:t xml:space="preserve">[11]</w:t>
        </w:r>
      </w:hyperlink>
      <w:r>
        <w:t xml:space="preserve">. The</w:t>
      </w:r>
      <w:r>
        <w:t xml:space="preserve"> </w:t>
      </w:r>
      <w:r>
        <w:rPr>
          <w:b/>
          <w:bCs/>
        </w:rPr>
        <w:t xml:space="preserve">Gait-ViT</w:t>
      </w:r>
      <w:r>
        <w:t xml:space="preserve"> </w:t>
      </w:r>
      <w:r>
        <w:t xml:space="preserve">paper (Sensors 2022) shows how a Vision Transformer can be applied</w:t>
      </w:r>
      <w:hyperlink r:id="rId27">
        <w:r>
          <w:rPr>
            <w:rStyle w:val="Hyperlink"/>
          </w:rPr>
          <w:t xml:space="preserve">[6]</w:t>
        </w:r>
      </w:hyperlink>
      <w:r>
        <w:t xml:space="preserve">. Reading these will clarify what made each succeed.</w:t>
      </w:r>
    </w:p>
    <w:p>
      <w:pPr>
        <w:pStyle w:val="Compact"/>
        <w:numPr>
          <w:ilvl w:val="0"/>
          <w:numId w:val="1006"/>
        </w:numPr>
      </w:pPr>
      <w:r>
        <w:rPr>
          <w:b/>
          <w:bCs/>
        </w:rPr>
        <w:t xml:space="preserve">Datasets/pipelines:</w:t>
      </w:r>
      <w:r>
        <w:t xml:space="preserve"> </w:t>
      </w:r>
      <w:r>
        <w:t xml:space="preserve">The</w:t>
      </w:r>
      <w:r>
        <w:t xml:space="preserve"> </w:t>
      </w:r>
      <w:r>
        <w:rPr>
          <w:b/>
          <w:bCs/>
        </w:rPr>
        <w:t xml:space="preserve">CASIA-B</w:t>
      </w:r>
      <w:r>
        <w:t xml:space="preserve"> </w:t>
      </w:r>
      <w:r>
        <w:t xml:space="preserve">README from OpenGait provides details on data structure and preprocessing</w:t>
      </w:r>
      <w:hyperlink r:id="rId25">
        <w:r>
          <w:rPr>
            <w:rStyle w:val="Hyperlink"/>
          </w:rPr>
          <w:t xml:space="preserve">[4]</w:t>
        </w:r>
      </w:hyperlink>
      <w:r>
        <w:t xml:space="preserve">. The</w:t>
      </w:r>
      <w:r>
        <w:t xml:space="preserve"> </w:t>
      </w:r>
      <w:r>
        <w:rPr>
          <w:b/>
          <w:bCs/>
        </w:rPr>
        <w:t xml:space="preserve">Gait3D</w:t>
      </w:r>
      <w:r>
        <w:t xml:space="preserve"> </w:t>
      </w:r>
      <w:r>
        <w:t xml:space="preserve">paper (CVPR 2022) by Zheng</w:t>
      </w:r>
      <w:r>
        <w:t xml:space="preserve"> </w:t>
      </w:r>
      <w:r>
        <w:rPr>
          <w:i/>
          <w:iCs/>
        </w:rPr>
        <w:t xml:space="preserve">et al.</w:t>
      </w:r>
      <w:r>
        <w:t xml:space="preserve"> </w:t>
      </w:r>
      <w:r>
        <w:t xml:space="preserve">explains how to evaluate gait “in the wild” (open-set ID retrieval)</w:t>
      </w:r>
      <w:hyperlink r:id="rId36">
        <w:r>
          <w:rPr>
            <w:rStyle w:val="Hyperlink"/>
          </w:rPr>
          <w:t xml:space="preserve">[12]</w:t>
        </w:r>
      </w:hyperlink>
      <w:r>
        <w:t xml:space="preserve">.</w:t>
      </w:r>
    </w:p>
    <w:p>
      <w:pPr>
        <w:pStyle w:val="Compact"/>
        <w:numPr>
          <w:ilvl w:val="0"/>
          <w:numId w:val="1006"/>
        </w:numPr>
      </w:pPr>
      <w:r>
        <w:rPr>
          <w:b/>
          <w:bCs/>
        </w:rPr>
        <w:t xml:space="preserve">Conference vs. Journal advice:</w:t>
      </w:r>
      <w:r>
        <w:t xml:space="preserve"> </w:t>
      </w:r>
      <w:r>
        <w:t xml:space="preserve">The IOP publishing guide explicitly discusses expanding conference work into a journal article</w:t>
      </w:r>
      <w:hyperlink r:id="rId22">
        <w:r>
          <w:rPr>
            <w:rStyle w:val="Hyperlink"/>
          </w:rPr>
          <w:t xml:space="preserve">[2]</w:t>
        </w:r>
      </w:hyperlink>
      <w:r>
        <w:t xml:space="preserve">. Also see general advice (e.g. Enago blog or academic guides) on differences in scope and depth</w:t>
      </w:r>
      <w:hyperlink r:id="rId21">
        <w:r>
          <w:rPr>
            <w:rStyle w:val="Hyperlink"/>
          </w:rPr>
          <w:t xml:space="preserve">[1]</w:t>
        </w:r>
      </w:hyperlink>
      <w:r>
        <w:t xml:space="preserve">.</w:t>
      </w:r>
    </w:p>
    <w:p>
      <w:pPr>
        <w:pStyle w:val="FirstParagraph"/>
      </w:pPr>
      <w:r>
        <w:t xml:space="preserve">These readings, combined with the references we’ve cited above, will deepen your understanding of gait recognition research and help you frame your own contribution for a conference submission – and later, how to substantially extend it for a journal.</w:t>
      </w:r>
    </w:p>
    <w:p>
      <w:pPr>
        <w:pStyle w:val="BodyText"/>
      </w:pPr>
      <w:r>
        <w:rPr>
          <w:b/>
          <w:bCs/>
        </w:rPr>
        <w:t xml:space="preserve">Sources:</w:t>
      </w:r>
      <w:r>
        <w:t xml:space="preserve"> </w:t>
      </w:r>
      <w:r>
        <w:t xml:space="preserve">Modern gait recognition pipelines and models</w:t>
      </w:r>
      <w:hyperlink r:id="rId24">
        <w:r>
          <w:rPr>
            <w:rStyle w:val="Hyperlink"/>
          </w:rPr>
          <w:t xml:space="preserve">[3]</w:t>
        </w:r>
      </w:hyperlink>
      <w:hyperlink r:id="rId39">
        <w:r>
          <w:rPr>
            <w:rStyle w:val="Hyperlink"/>
          </w:rPr>
          <w:t xml:space="preserve">[14]</w:t>
        </w:r>
      </w:hyperlink>
      <w:hyperlink r:id="rId27">
        <w:r>
          <w:rPr>
            <w:rStyle w:val="Hyperlink"/>
          </w:rPr>
          <w:t xml:space="preserve">[6]</w:t>
        </w:r>
      </w:hyperlink>
      <w:r>
        <w:t xml:space="preserve">; articles on publication norms</w:t>
      </w:r>
      <w:hyperlink r:id="rId21">
        <w:r>
          <w:rPr>
            <w:rStyle w:val="Hyperlink"/>
          </w:rPr>
          <w:t xml:space="preserve">[1]</w:t>
        </w:r>
      </w:hyperlink>
      <w:hyperlink r:id="rId22">
        <w:r>
          <w:rPr>
            <w:rStyle w:val="Hyperlink"/>
          </w:rPr>
          <w:t xml:space="preserve">[2]</w:t>
        </w:r>
      </w:hyperlink>
      <w:r>
        <w:t xml:space="preserve">; dataset details</w:t>
      </w:r>
      <w:hyperlink r:id="rId25">
        <w:r>
          <w:rPr>
            <w:rStyle w:val="Hyperlink"/>
          </w:rPr>
          <w:t xml:space="preserve">[4]</w:t>
        </w:r>
      </w:hyperlink>
      <w:r>
        <w:t xml:space="preserve">; and gait surveys</w:t>
      </w:r>
      <w:hyperlink r:id="rId38">
        <w:r>
          <w:rPr>
            <w:rStyle w:val="Hyperlink"/>
          </w:rPr>
          <w:t xml:space="preserve">[13]</w:t>
        </w:r>
      </w:hyperlink>
      <w:hyperlink r:id="rId27">
        <w:r>
          <w:rPr>
            <w:rStyle w:val="Hyperlink"/>
          </w:rPr>
          <w:t xml:space="preserve">[6]</w:t>
        </w:r>
      </w:hyperlink>
      <w:r>
        <w:t xml:space="preserve">.</w:t>
      </w:r>
    </w:p>
    <w:bookmarkEnd w:id="40"/>
    <w:bookmarkEnd w:id="41"/>
    <w:p>
      <w:r>
        <w:pict>
          <v:rect style="width:0;height:1.5pt" o:hralign="center" o:hrstd="t" o:hr="t"/>
        </w:pict>
      </w:r>
    </w:p>
    <w:bookmarkStart w:id="50" w:name="citations"/>
    <w:p>
      <w:pPr>
        <w:pStyle w:val="FirstParagraph"/>
      </w:pPr>
      <w:hyperlink r:id="rId21">
        <w:r>
          <w:rPr>
            <w:rStyle w:val="Hyperlink"/>
          </w:rPr>
          <w:t xml:space="preserve">[1]</w:t>
        </w:r>
      </w:hyperlink>
      <w:r>
        <w:t xml:space="preserve"> </w:t>
      </w:r>
      <w:r>
        <w:t xml:space="preserve">Differences Between a Conference Paper and a Journal Paper - Space Studies</w:t>
      </w:r>
    </w:p>
    <w:p>
      <w:pPr>
        <w:pStyle w:val="BodyText"/>
      </w:pPr>
      <w:hyperlink r:id="rId42">
        <w:r>
          <w:rPr>
            <w:rStyle w:val="Hyperlink"/>
          </w:rPr>
          <w:t xml:space="preserve">https://spacestudies.co.uk/blog/difference-between-a-conference-paper-and-a-journal-paper/</w:t>
        </w:r>
      </w:hyperlink>
    </w:p>
    <w:p>
      <w:pPr>
        <w:pStyle w:val="BodyText"/>
      </w:pPr>
      <w:hyperlink r:id="rId22">
        <w:r>
          <w:rPr>
            <w:rStyle w:val="Hyperlink"/>
          </w:rPr>
          <w:t xml:space="preserve">[2]</w:t>
        </w:r>
      </w:hyperlink>
      <w:r>
        <w:t xml:space="preserve"> </w:t>
      </w:r>
      <w:r>
        <w:t xml:space="preserve">Expanding a conference proceedings paper for journal publication - IOPscience - Publishing Support</w:t>
      </w:r>
    </w:p>
    <w:p>
      <w:pPr>
        <w:pStyle w:val="BodyText"/>
      </w:pPr>
      <w:hyperlink r:id="rId43">
        <w:r>
          <w:rPr>
            <w:rStyle w:val="Hyperlink"/>
          </w:rPr>
          <w:t xml:space="preserve">https://publishingsupport.iopscience.iop.org/questions/expanding-a-cs-proceedings-article-for-journal-publication/</w:t>
        </w:r>
      </w:hyperlink>
    </w:p>
    <w:p>
      <w:pPr>
        <w:pStyle w:val="BodyText"/>
      </w:pPr>
      <w:hyperlink r:id="rId24">
        <w:r>
          <w:rPr>
            <w:rStyle w:val="Hyperlink"/>
          </w:rPr>
          <w:t xml:space="preserve">[3]</w:t>
        </w:r>
      </w:hyperlink>
      <w:r>
        <w:t xml:space="preserve"> </w:t>
      </w:r>
      <w:r>
        <w:t xml:space="preserve">arxiv.org</w:t>
      </w:r>
    </w:p>
    <w:p>
      <w:pPr>
        <w:pStyle w:val="BodyText"/>
      </w:pPr>
      <w:hyperlink r:id="rId44">
        <w:r>
          <w:rPr>
            <w:rStyle w:val="Hyperlink"/>
          </w:rPr>
          <w:t xml:space="preserve">https://arxiv.org/pdf/2206.13732</w:t>
        </w:r>
      </w:hyperlink>
    </w:p>
    <w:p>
      <w:pPr>
        <w:pStyle w:val="BodyText"/>
      </w:pPr>
      <w:hyperlink r:id="rId25">
        <w:r>
          <w:rPr>
            <w:rStyle w:val="Hyperlink"/>
          </w:rPr>
          <w:t xml:space="preserve">[4]</w:t>
        </w:r>
      </w:hyperlink>
      <w:r>
        <w:t xml:space="preserve"> </w:t>
      </w:r>
      <w:r>
        <w:t xml:space="preserve">OpenGait/datasets/CASIA-B/README.md at master · ShiqiYu/OpenGait · GitHub</w:t>
      </w:r>
    </w:p>
    <w:p>
      <w:pPr>
        <w:pStyle w:val="BodyText"/>
      </w:pPr>
      <w:hyperlink r:id="rId45">
        <w:r>
          <w:rPr>
            <w:rStyle w:val="Hyperlink"/>
          </w:rPr>
          <w:t xml:space="preserve">https://github.com/ShiqiYu/OpenGait/blob/master/datasets/CASIA-B/README.md</w:t>
        </w:r>
      </w:hyperlink>
    </w:p>
    <w:p>
      <w:pPr>
        <w:pStyle w:val="BodyText"/>
      </w:pPr>
      <w:hyperlink r:id="rId26">
        <w:r>
          <w:rPr>
            <w:rStyle w:val="Hyperlink"/>
          </w:rPr>
          <w:t xml:space="preserve">[5]</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3">
        <w:r>
          <w:rPr>
            <w:rStyle w:val="Hyperlink"/>
          </w:rPr>
          <w:t xml:space="preserve">[11]</w:t>
        </w:r>
      </w:hyperlink>
      <w:r>
        <w:t xml:space="preserve"> </w:t>
      </w:r>
      <w:hyperlink r:id="rId36">
        <w:r>
          <w:rPr>
            <w:rStyle w:val="Hyperlink"/>
          </w:rPr>
          <w:t xml:space="preserve">[12]</w:t>
        </w:r>
      </w:hyperlink>
      <w:r>
        <w:t xml:space="preserve"> </w:t>
      </w:r>
      <w:hyperlink r:id="rId39">
        <w:r>
          <w:rPr>
            <w:rStyle w:val="Hyperlink"/>
          </w:rPr>
          <w:t xml:space="preserve">[14]</w:t>
        </w:r>
      </w:hyperlink>
      <w:r>
        <w:t xml:space="preserve"> </w:t>
      </w:r>
      <w:r>
        <w:t xml:space="preserve">Gait Recognition in the Wild With Dense 3D Representations and a Benchmark</w:t>
      </w:r>
    </w:p>
    <w:p>
      <w:pPr>
        <w:pStyle w:val="BodyText"/>
      </w:pPr>
      <w:hyperlink r:id="rId46">
        <w:r>
          <w:rPr>
            <w:rStyle w:val="Hyperlink"/>
          </w:rPr>
          <w:t xml:space="preserve">https://openaccess.thecvf.com/content/CVPR2022/papers/Zheng_Gait_Recognition_in_the_Wild_With_Dense_3D_Representations_and_CVPR_2022_paper.pdf</w:t>
        </w:r>
      </w:hyperlink>
    </w:p>
    <w:p>
      <w:pPr>
        <w:pStyle w:val="BodyText"/>
      </w:pPr>
      <w:hyperlink r:id="rId27">
        <w:r>
          <w:rPr>
            <w:rStyle w:val="Hyperlink"/>
          </w:rPr>
          <w:t xml:space="preserve">[6]</w:t>
        </w:r>
      </w:hyperlink>
      <w:r>
        <w:t xml:space="preserve"> </w:t>
      </w:r>
      <w:r>
        <w:t xml:space="preserve">Gait-ViT: Gait Recognition with Vision Transformer</w:t>
      </w:r>
    </w:p>
    <w:p>
      <w:pPr>
        <w:pStyle w:val="BodyText"/>
      </w:pPr>
      <w:hyperlink r:id="rId47">
        <w:r>
          <w:rPr>
            <w:rStyle w:val="Hyperlink"/>
          </w:rPr>
          <w:t xml:space="preserve">https://www.mdpi.com/1424-8220/22/19/7362</w:t>
        </w:r>
      </w:hyperlink>
    </w:p>
    <w:p>
      <w:pPr>
        <w:pStyle w:val="BodyText"/>
      </w:pPr>
      <w:hyperlink r:id="rId32">
        <w:r>
          <w:rPr>
            <w:rStyle w:val="Hyperlink"/>
          </w:rPr>
          <w:t xml:space="preserve">[10]</w:t>
        </w:r>
      </w:hyperlink>
      <w:r>
        <w:t xml:space="preserve"> </w:t>
      </w:r>
      <w:r>
        <w:t xml:space="preserve">It Takes Two: Accurate Gait Recognition in the Wild via Cross-granularity Alignment</w:t>
      </w:r>
    </w:p>
    <w:p>
      <w:pPr>
        <w:pStyle w:val="BodyText"/>
      </w:pPr>
      <w:hyperlink r:id="rId48">
        <w:r>
          <w:rPr>
            <w:rStyle w:val="Hyperlink"/>
          </w:rPr>
          <w:t xml:space="preserve">https://arxiv.org/html/2411.10742v1</w:t>
        </w:r>
      </w:hyperlink>
    </w:p>
    <w:p>
      <w:pPr>
        <w:pStyle w:val="BodyText"/>
      </w:pPr>
      <w:hyperlink r:id="rId38">
        <w:r>
          <w:rPr>
            <w:rStyle w:val="Hyperlink"/>
          </w:rPr>
          <w:t xml:space="preserve">[13]</w:t>
        </w:r>
      </w:hyperlink>
      <w:r>
        <w:t xml:space="preserve"> </w:t>
      </w:r>
      <w:r>
        <w:t xml:space="preserve"> </w:t>
      </w:r>
      <w:r>
        <w:t xml:space="preserve">Person Recognition Based on Deep Gait: A Survey - PMC</w:t>
      </w:r>
      <w:r>
        <w:t xml:space="preserve"> </w:t>
      </w:r>
    </w:p>
    <w:p>
      <w:pPr>
        <w:pStyle w:val="BodyText"/>
      </w:pPr>
      <w:hyperlink r:id="rId49">
        <w:r>
          <w:rPr>
            <w:rStyle w:val="Hyperlink"/>
          </w:rPr>
          <w:t xml:space="preserve">https://pmc.ncbi.nlm.nih.gov/articles/PMC10222012/</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rxiv.org/html/2411.10742v1" TargetMode="External" /><Relationship Type="http://schemas.openxmlformats.org/officeDocument/2006/relationships/hyperlink" Id="rId32" Target="https://arxiv.org/html/2411.10742v1#:~:text=achieve%20accurate%20gait%20recognition%20in,between%20silhouette%20and%20parsing%20features" TargetMode="External" /><Relationship Type="http://schemas.openxmlformats.org/officeDocument/2006/relationships/hyperlink" Id="rId44" Target="https://arxiv.org/pdf/2206.13732" TargetMode="External" /><Relationship Type="http://schemas.openxmlformats.org/officeDocument/2006/relationships/hyperlink" Id="rId24" Target="https://arxiv.org/pdf/2206.13732#:~:text=sequence%20of%20silhouettes,Profiles%20GEIs%20PCA%20LDA%20LPP" TargetMode="External" /><Relationship Type="http://schemas.openxmlformats.org/officeDocument/2006/relationships/hyperlink" Id="rId45" Target="https://github.com/ShiqiYu/OpenGait/blob/master/datasets/CASIA-B/README.md" TargetMode="External" /><Relationship Type="http://schemas.openxmlformats.org/officeDocument/2006/relationships/hyperlink" Id="rId25" Target="https://github.com/ShiqiYu/OpenGait/blob/master/datasets/CASIA-B/README.md#:~:text=CASIA,apply%20with%20the%20instruction%20mentioned" TargetMode="External" /><Relationship Type="http://schemas.openxmlformats.org/officeDocument/2006/relationships/hyperlink" Id="rId46" Target="https://openaccess.thecvf.com/content/CVPR2022/papers/Zheng_Gait_Recognition_in_the_Wild_With_Dense_3D_Representations_and_CVPR_2022_paper.pdf" TargetMode="External" /><Relationship Type="http://schemas.openxmlformats.org/officeDocument/2006/relationships/hyperlink" Id="rId26" Target="https://openaccess.thecvf.com/content/CVPR2022/papers/Zheng_Gait_Recognition_in_the_Wild_With_Dense_3D_Representations_and_CVPR_2022_paper.pdf#:~:text=1%29%20GEINet%20,12" TargetMode="External" /><Relationship Type="http://schemas.openxmlformats.org/officeDocument/2006/relationships/hyperlink" Id="rId39" Target="https://openaccess.thecvf.com/content/CVPR2022/papers/Zheng_Gait_Recognition_in_the_Wild_With_Dense_3D_Representations_and_CVPR_2022_paper.pdf#:~:text=2%29%20GaitSet%20,gait%20sequences%2C%20which%20achieves%20the" TargetMode="External" /><Relationship Type="http://schemas.openxmlformats.org/officeDocument/2006/relationships/hyperlink" Id="rId29" Target="https://openaccess.thecvf.com/content/CVPR2022/papers/Zheng_Gait_Recognition_in_the_Wild_With_Dense_3D_Representations_and_CVPR_2022_paper.pdf#:~:text=3%29%20GaitPart%20,gait%20sequences%2C%20which%20achieves%20the" TargetMode="External" /><Relationship Type="http://schemas.openxmlformats.org/officeDocument/2006/relationships/hyperlink" Id="rId33" Target="https://openaccess.thecvf.com/content/CVPR2022/papers/Zheng_Gait_Recognition_in_the_Wild_With_Dense_3D_Representations_and_CVPR_2022_paper.pdf#:~:text=3%29%20GaitPart%20,the%20tempo%02ral%20dimension%20of%20the" TargetMode="External" /><Relationship Type="http://schemas.openxmlformats.org/officeDocument/2006/relationships/hyperlink" Id="rId31" Target="https://openaccess.thecvf.com/content/CVPR2022/papers/Zheng_Gait_Recognition_in_the_Wild_With_Dense_3D_Representations_and_CVPR_2022_paper.pdf#:~:text=SOTA%20performance%20using%20only%20a,term%20motion%20for%20gait%20recognition" TargetMode="External" /><Relationship Type="http://schemas.openxmlformats.org/officeDocument/2006/relationships/hyperlink" Id="rId30" Target="https://openaccess.thecvf.com/content/CVPR2022/papers/Zheng_Gait_Recognition_in_the_Wild_With_Dense_3D_Representations_and_CVPR_2022_paper.pdf#:~:text=SOTA%20performance%20using%20only%20a,the%20tempo%02ral%20dimension%20of%20the" TargetMode="External" /><Relationship Type="http://schemas.openxmlformats.org/officeDocument/2006/relationships/hyperlink" Id="rId36" Target="https://openaccess.thecvf.com/content/CVPR2022/papers/Zheng_Gait_Recognition_in_the_Wild_With_Dense_3D_Representations_and_CVPR_2022_paper.pdf#:~:text=recognition%20methods%20and%20our%20SMPLGait,SMPLGait%29%20with%20these%20methods" TargetMode="External" /><Relationship Type="http://schemas.openxmlformats.org/officeDocument/2006/relationships/hyperlink" Id="rId49" Target="https://pmc.ncbi.nlm.nih.gov/articles/PMC10222012/" TargetMode="External" /><Relationship Type="http://schemas.openxmlformats.org/officeDocument/2006/relationships/hyperlink" Id="rId38" Target="https://pmc.ncbi.nlm.nih.gov/articles/PMC10222012/#:~:text=is%20revealed%20that%20deep%20learning,learning%20methods%20used%20for%20gait" TargetMode="External" /><Relationship Type="http://schemas.openxmlformats.org/officeDocument/2006/relationships/hyperlink" Id="rId43" Target="https://publishingsupport.iopscience.iop.org/questions/expanding-a-cs-proceedings-article-for-journal-publication/" TargetMode="External" /><Relationship Type="http://schemas.openxmlformats.org/officeDocument/2006/relationships/hyperlink" Id="rId22" Target="https://publishingsupport.iopscience.iop.org/questions/expanding-a-cs-proceedings-article-for-journal-publication/#:~:text=,of%20the%20additional%20technical%20contributions" TargetMode="External" /><Relationship Type="http://schemas.openxmlformats.org/officeDocument/2006/relationships/hyperlink" Id="rId42" Target="https://spacestudies.co.uk/blog/difference-between-a-conference-paper-and-a-journal-paper/" TargetMode="External" /><Relationship Type="http://schemas.openxmlformats.org/officeDocument/2006/relationships/hyperlink" Id="rId21" Target="https://spacestudies.co.uk/blog/difference-between-a-conference-paper-and-a-journal-paper/#:~:text=The%20length%20and%20depth%20of,depth%20analyses" TargetMode="External" /><Relationship Type="http://schemas.openxmlformats.org/officeDocument/2006/relationships/hyperlink" Id="rId47" Target="https://www.mdpi.com/1424-8220/22/19/7362" TargetMode="External" /><Relationship Type="http://schemas.openxmlformats.org/officeDocument/2006/relationships/hyperlink" Id="rId27" Target="https://www.mdpi.com/1424-8220/22/19/7362#:~:text=the%20class%20label,art%20methods" TargetMode="External" /></Relationships>
</file>

<file path=word/_rels/footnotes.xml.rels><?xml version="1.0" encoding="UTF-8"?><Relationships xmlns="http://schemas.openxmlformats.org/package/2006/relationships"><Relationship Type="http://schemas.openxmlformats.org/officeDocument/2006/relationships/hyperlink" Id="rId48" Target="https://arxiv.org/html/2411.10742v1" TargetMode="External" /><Relationship Type="http://schemas.openxmlformats.org/officeDocument/2006/relationships/hyperlink" Id="rId32" Target="https://arxiv.org/html/2411.10742v1#:~:text=achieve%20accurate%20gait%20recognition%20in,between%20silhouette%20and%20parsing%20features" TargetMode="External" /><Relationship Type="http://schemas.openxmlformats.org/officeDocument/2006/relationships/hyperlink" Id="rId44" Target="https://arxiv.org/pdf/2206.13732" TargetMode="External" /><Relationship Type="http://schemas.openxmlformats.org/officeDocument/2006/relationships/hyperlink" Id="rId24" Target="https://arxiv.org/pdf/2206.13732#:~:text=sequence%20of%20silhouettes,Profiles%20GEIs%20PCA%20LDA%20LPP" TargetMode="External" /><Relationship Type="http://schemas.openxmlformats.org/officeDocument/2006/relationships/hyperlink" Id="rId45" Target="https://github.com/ShiqiYu/OpenGait/blob/master/datasets/CASIA-B/README.md" TargetMode="External" /><Relationship Type="http://schemas.openxmlformats.org/officeDocument/2006/relationships/hyperlink" Id="rId25" Target="https://github.com/ShiqiYu/OpenGait/blob/master/datasets/CASIA-B/README.md#:~:text=CASIA,apply%20with%20the%20instruction%20mentioned" TargetMode="External" /><Relationship Type="http://schemas.openxmlformats.org/officeDocument/2006/relationships/hyperlink" Id="rId46" Target="https://openaccess.thecvf.com/content/CVPR2022/papers/Zheng_Gait_Recognition_in_the_Wild_With_Dense_3D_Representations_and_CVPR_2022_paper.pdf" TargetMode="External" /><Relationship Type="http://schemas.openxmlformats.org/officeDocument/2006/relationships/hyperlink" Id="rId26" Target="https://openaccess.thecvf.com/content/CVPR2022/papers/Zheng_Gait_Recognition_in_the_Wild_With_Dense_3D_Representations_and_CVPR_2022_paper.pdf#:~:text=1%29%20GEINet%20,12" TargetMode="External" /><Relationship Type="http://schemas.openxmlformats.org/officeDocument/2006/relationships/hyperlink" Id="rId39" Target="https://openaccess.thecvf.com/content/CVPR2022/papers/Zheng_Gait_Recognition_in_the_Wild_With_Dense_3D_Representations_and_CVPR_2022_paper.pdf#:~:text=2%29%20GaitSet%20,gait%20sequences%2C%20which%20achieves%20the" TargetMode="External" /><Relationship Type="http://schemas.openxmlformats.org/officeDocument/2006/relationships/hyperlink" Id="rId29" Target="https://openaccess.thecvf.com/content/CVPR2022/papers/Zheng_Gait_Recognition_in_the_Wild_With_Dense_3D_Representations_and_CVPR_2022_paper.pdf#:~:text=3%29%20GaitPart%20,gait%20sequences%2C%20which%20achieves%20the" TargetMode="External" /><Relationship Type="http://schemas.openxmlformats.org/officeDocument/2006/relationships/hyperlink" Id="rId33" Target="https://openaccess.thecvf.com/content/CVPR2022/papers/Zheng_Gait_Recognition_in_the_Wild_With_Dense_3D_Representations_and_CVPR_2022_paper.pdf#:~:text=3%29%20GaitPart%20,the%20tempo%02ral%20dimension%20of%20the" TargetMode="External" /><Relationship Type="http://schemas.openxmlformats.org/officeDocument/2006/relationships/hyperlink" Id="rId31" Target="https://openaccess.thecvf.com/content/CVPR2022/papers/Zheng_Gait_Recognition_in_the_Wild_With_Dense_3D_Representations_and_CVPR_2022_paper.pdf#:~:text=SOTA%20performance%20using%20only%20a,term%20motion%20for%20gait%20recognition" TargetMode="External" /><Relationship Type="http://schemas.openxmlformats.org/officeDocument/2006/relationships/hyperlink" Id="rId30" Target="https://openaccess.thecvf.com/content/CVPR2022/papers/Zheng_Gait_Recognition_in_the_Wild_With_Dense_3D_Representations_and_CVPR_2022_paper.pdf#:~:text=SOTA%20performance%20using%20only%20a,the%20tempo%02ral%20dimension%20of%20the" TargetMode="External" /><Relationship Type="http://schemas.openxmlformats.org/officeDocument/2006/relationships/hyperlink" Id="rId36" Target="https://openaccess.thecvf.com/content/CVPR2022/papers/Zheng_Gait_Recognition_in_the_Wild_With_Dense_3D_Representations_and_CVPR_2022_paper.pdf#:~:text=recognition%20methods%20and%20our%20SMPLGait,SMPLGait%29%20with%20these%20methods" TargetMode="External" /><Relationship Type="http://schemas.openxmlformats.org/officeDocument/2006/relationships/hyperlink" Id="rId49" Target="https://pmc.ncbi.nlm.nih.gov/articles/PMC10222012/" TargetMode="External" /><Relationship Type="http://schemas.openxmlformats.org/officeDocument/2006/relationships/hyperlink" Id="rId38" Target="https://pmc.ncbi.nlm.nih.gov/articles/PMC10222012/#:~:text=is%20revealed%20that%20deep%20learning,learning%20methods%20used%20for%20gait" TargetMode="External" /><Relationship Type="http://schemas.openxmlformats.org/officeDocument/2006/relationships/hyperlink" Id="rId43" Target="https://publishingsupport.iopscience.iop.org/questions/expanding-a-cs-proceedings-article-for-journal-publication/" TargetMode="External" /><Relationship Type="http://schemas.openxmlformats.org/officeDocument/2006/relationships/hyperlink" Id="rId22" Target="https://publishingsupport.iopscience.iop.org/questions/expanding-a-cs-proceedings-article-for-journal-publication/#:~:text=,of%20the%20additional%20technical%20contributions" TargetMode="External" /><Relationship Type="http://schemas.openxmlformats.org/officeDocument/2006/relationships/hyperlink" Id="rId42" Target="https://spacestudies.co.uk/blog/difference-between-a-conference-paper-and-a-journal-paper/" TargetMode="External" /><Relationship Type="http://schemas.openxmlformats.org/officeDocument/2006/relationships/hyperlink" Id="rId21" Target="https://spacestudies.co.uk/blog/difference-between-a-conference-paper-and-a-journal-paper/#:~:text=The%20length%20and%20depth%20of,depth%20analyses" TargetMode="External" /><Relationship Type="http://schemas.openxmlformats.org/officeDocument/2006/relationships/hyperlink" Id="rId47" Target="https://www.mdpi.com/1424-8220/22/19/7362" TargetMode="External" /><Relationship Type="http://schemas.openxmlformats.org/officeDocument/2006/relationships/hyperlink" Id="rId27" Target="https://www.mdpi.com/1424-8220/22/19/7362#:~:text=the%20class%20label,art%20metho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2026-03-19T20:21:44Z</dcterms:created>
  <dcterms:modified xsi:type="dcterms:W3CDTF">2026-03-19T20:21:44Z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