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Score Level Decision Maps</w:t>
      </w:r>
    </w:p>
    <w:p>
      <w:r>
        <w:t>English guide to the function and its helper calls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1" name="Picture 1" descr="Function overview. 1  Prepare inputs: frame: entities at one level; level: entity type; registry: objective rules. Copy frame and create scored list. 2–3  Read objective and evidence: For each row: load its contract, read successes and trials, and classify evidence sufficiency. 4–5  Choose comparison and initialize: Prefer same-objective peers; try a compatible fallback. Set raw metrics, comparison metadata and default values. 6–7  Assess performance and efficiency: Estimate an adjusted rate and uncertainty, derive a statistical decision, then compare cost or return with peers. 8–9  Recommend and return: Apply action rules, save reason codes, repeat for every row, and merge scores into the original da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Scope: score_level produces primary scores and recommendations. Semantic scoring and budget allocation run later.</w:t>
      </w:r>
    </w:p>
    <w:p>
      <w:r>
        <w:br w:type="page"/>
      </w:r>
    </w:p>
    <w:p>
      <w:pPr>
        <w:pStyle w:val="Heading1"/>
      </w:pPr>
      <w:r>
        <w:t>Steps 1 to 3 Inputs and evidence</w:t>
      </w:r>
    </w:p>
    <w:p>
      <w:r>
        <w:t>Map 2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2" name="Picture 2" descr="Steps 1 to 3 Inputs and evidence. Prepare: output = frame.copy(); scored = []. Iterate through output rows without changing the input frame. Validate objective: Read row.objective. If absent from registry.objectives, raise ValueError; otherwise load its contract. Read counts: successes uses primary_numerator; trials uses primary_denominator. Convert to float; absent fields default to zero. Classify evidence: trials &lt;= 0: none. Below minimum_trials: limited. At or above the minimum: sufficient. Current minimum: 10. Interpret the denominator: Awareness / Engagement: impressions. Leads: mature conversations. Sales: mature unique custom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Evidence classification does not stop calculations. The final action checks sufficiency again.</w:t>
      </w:r>
    </w:p>
    <w:p>
      <w:r>
        <w:br w:type="page"/>
      </w:r>
    </w:p>
    <w:p>
      <w:pPr>
        <w:pStyle w:val="Heading1"/>
      </w:pPr>
      <w:r>
        <w:t>Step 4 Select the benchmark</w:t>
      </w:r>
    </w:p>
    <w:p>
      <w:r>
        <w:t>Map 3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3" name="Picture 3" descr="Step 4 Select the benchmark. Filter peers: Same level and objective; exclude current entity_id. Require trials &gt; 0 and 0 &lt;= successes &lt;= trials. Enough same-objective peers: At least minimum_peer_entities (currently 2): scope = same_objective; quality = decision_grade. Try a compatible fallback: Require the same fallback group, primary metric, numerator, denominator and direction. Current option: Awareness + Engagement Link CTR. Evaluate fallback: Enough valid fallback peers: scope = shared_primary_kpi_group; quality = provisional. Otherwise comparison remains unavailable. Portfolio context: Compute an adjusted pooled rate across valid other entities using the selected count columns. Descriptive only; it does not decide the a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Provisional comparisons can only support KEEP_AS_TEST when evidence is sufficient. The current entity never benchmarks itself.</w:t>
      </w:r>
    </w:p>
    <w:p>
      <w:r>
        <w:br w:type="page"/>
      </w:r>
    </w:p>
    <w:p>
      <w:pPr>
        <w:pStyle w:val="Heading1"/>
      </w:pPr>
      <w:r>
        <w:t>Step 5 Initialize the score record</w:t>
      </w:r>
    </w:p>
    <w:p>
      <w:r>
        <w:t>Map 4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4" name="Picture 4" descr="Step 5 Initialize the score record. Identity and evidence: entity_id; score_metric; score_numerator; score_denominator; score_direction; score_successes; score_trials; evidence_status. Raw rate: raw_rate = successes / trials when trials is nonzero; otherwise None. Benchmark metadata: benchmark_peer_count; same_objective_peer_count; benchmark_scope; benchmark_quality; portfolio_context_benchmark and peer count. Empty estimates: Initialize corrected_rate, rate bounds, benchmark, expected_lift, lift bounds and probability_better to None. Default decision and efficiency settings: statistical_decision = insufficient_evidence. Store efficiency_metric and efficiency_direction from the objective contra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These defaults remain when statistical estimation cannot run, avoiding unsupported numerical estimates.</w:t>
      </w:r>
    </w:p>
    <w:p>
      <w:r>
        <w:br w:type="page"/>
      </w:r>
    </w:p>
    <w:p>
      <w:pPr>
        <w:pStyle w:val="Heading1"/>
      </w:pPr>
      <w:r>
        <w:t>Step 6 Build the statistical estimate</w:t>
      </w:r>
    </w:p>
    <w:p>
      <w:r>
        <w:t>Map 5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5" name="Picture 5" descr="Step 6 Build the statistical estimate. Check calculation conditions: Run only if trials &gt; 0, benchmark quality is available, and the peer count meets the configured minimum. Fit the peer prior: Mean = (peer successes + 0.5) / (peer trials + 1). Start strength at average peer trials; reduce it when peer-rate variation warrants it; minimum strength is 1. Construct Beta parameters: alpha = mean × strength; beta = (1 - mean) × strength. The helper applies a tiny positive floor to each parameter. Update with entity evidence: Posterior alpha = alpha + successes. Posterior beta = beta + trials - successes. Corrected rate = posterior alpha / sum of posterior parameters. Simulate uncertainty: Use 5,000 posterior draws and 5,000 prior draws. A stable seed uses level, entity_id and metric. Rate bounds are posterior percentiles 2.5 and 97.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calculation can run below 10 trials, but limited evidence still blocks a final funding recommendation.</w:t>
      </w:r>
    </w:p>
    <w:p>
      <w:r>
        <w:br w:type="page"/>
      </w:r>
    </w:p>
    <w:p>
      <w:pPr>
        <w:pStyle w:val="Heading1"/>
      </w:pPr>
      <w:r>
        <w:t>Step 6 Derive the statistical decision</w:t>
      </w:r>
    </w:p>
    <w:p>
      <w:r>
        <w:t>Map 6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6" name="Picture 6" descr="Step 6 Derive the statistical decision. Define favorable lift: For higher-is-better metrics: entity draw minus benchmark draw. For lower-is-better metrics: benchmark draw minus entity draw. Summarize comparisons: expected_lift = mean difference. probability_better = fraction of positive differences. benchmark = prior mean. Find the lift interval: lift_low and lift_high are the 2.5th and 97.5th percentiles of the paired differences. Classify performance: lift_low &gt; 0: scale. Otherwise, lift_high &lt; 0: kill. Otherwise: hold, including intervals that touch zero. Keep the distinction: The statistical decision is an intermediate result. A high probability_better alone does not guarantee SCA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Example: a lift interval from -4 to +12 percentage points produces hold, even when the average lift is positive.</w:t>
      </w:r>
    </w:p>
    <w:p>
      <w:r>
        <w:br w:type="page"/>
      </w:r>
    </w:p>
    <w:p>
      <w:pPr>
        <w:pStyle w:val="Heading1"/>
      </w:pPr>
      <w:r>
        <w:t>Step 7 Compare efficiency</w:t>
      </w:r>
    </w:p>
    <w:p>
      <w:r>
        <w:t>Map 7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7" name="Picture 7" descr="Step 7 Compare efficiency. Select comparison values: Use other entities with the same objective. Convert the configured efficiency column to numbers and drop missing values. Handle missing evidence: If the entity value is missing or no peer values remain, comparison = unavailable and benchmark = None. Compute the benchmark: Use the median peer value, not the mean. One available peer value can support this comparison; there is no two-peer gate here. Respect direction: Lower is better for CPM, CPC and cost per created order. Higher is better for Net ROAS. Return efficiency fields: Classify approximately equal values as equal; otherwise better or worse. Save value, median benchmark, peer count and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Efficiency always uses same-objective peers. It gates final SCALE recommendations rather than changing the primary statistical score.</w:t>
      </w:r>
    </w:p>
    <w:p>
      <w:r>
        <w:br w:type="page"/>
      </w:r>
    </w:p>
    <w:p>
      <w:pPr>
        <w:pStyle w:val="Heading1"/>
      </w:pPr>
      <w:r>
        <w:t>Step 8 Apply the final action rules</w:t>
      </w:r>
    </w:p>
    <w:p>
      <w:r>
        <w:t>Map 8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8" name="Picture 8" descr="Step 8 Apply the final action rules. 1  Insufficient evidence: Evidence is not sufficient OR statistical_decision is insufficient_evidence → INSUFFICIENT_EVIDENCE. 2  Provisional comparison: If the first rule did not apply and benchmark quality is provisional → KEEP_AS_TEST, regardless of scale, hold or kill. 3  Clear underperformance: With sufficient evidence and a decision-grade comparison, statistical kill → DO_NOT_FUND. 4  Inconclusive comparison: With sufficient evidence and a decision-grade comparison, statistical hold → KEEP_AS_TEST. 5  Clear outperformance: For statistical scale: efficiency better/equal → SCALE. Efficiency worse/unavailable → KEEP_AS_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Rule order matters. Each outcome includes reason codes explaining evidence, lift, fallback comparison or efficiency.</w:t>
      </w:r>
    </w:p>
    <w:p>
      <w:r>
        <w:br w:type="page"/>
      </w:r>
    </w:p>
    <w:p>
      <w:pPr>
        <w:pStyle w:val="Heading1"/>
      </w:pPr>
      <w:r>
        <w:t>Step 9 Save and return results</w:t>
      </w:r>
    </w:p>
    <w:p>
      <w:r>
        <w:t>Map 9 of 9  |  score_level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9555480" cy="5295328"/>
            <wp:docPr id="9" name="Picture 9" descr="Step 9 Save and return results. Receive the action: _action returns an action enum and a list of reasons. Save the recommendation: values[recommended_action] = action.value; values[reason_codes] = reasons. Append and repeat: Append values to scored. If another row exists, repeat from objective lookup. Merge the score records: Convert scored into a DataFrame. Left-merge it with output using entity_id. Return the enriched table: Preserve original entity data and add primary estimates, evidence and benchmark details, efficiency, recommendation and rea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295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src_mvp/statistics.py, score_level and its helpers; objective defaults: src_mvp/config/objectives.yaml.</w:t>
      </w:r>
    </w:p>
    <w:sectPr w:rsidR="00FC693F" w:rsidRPr="0006063C" w:rsidSect="00034616">
      <w:pgSz w:w="16848" w:h="11952" w:orient="landscape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Level Decision Maps</dc:title>
  <dc:subject>English mind maps of score_level execution and decision rules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