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rFonts w:ascii="Arial" w:cs="Arial" w:eastAsia="Arial" w:hAnsi="Arial"/>
          <w:b/>
          <w:bCs/>
          <w:color w:val="1A8A7D"/>
          <w:sz w:val="56"/>
          <w:szCs w:val="56"/>
        </w:rPr>
        <w:t xml:space="preserve">Exercise 3</w:t>
      </w:r>
    </w:p>
    <w:p>
      <w:pPr>
        <w:spacing w:after="120"/>
        <w:jc w:val="center"/>
      </w:pPr>
      <w:r>
        <w:rPr>
          <w:rFonts w:ascii="Arial" w:cs="Arial" w:eastAsia="Arial" w:hAnsi="Arial"/>
          <w:b/>
          <w:bCs/>
          <w:color w:val="1B3A4B"/>
          <w:sz w:val="48"/>
          <w:szCs w:val="48"/>
        </w:rPr>
        <w:t xml:space="preserve">Build Your Source Pack</w:t>
      </w:r>
    </w:p>
    <w:p>
      <w:pPr>
        <w:pBdr>
          <w:bottom w:val="single" w:color="1A8A7D" w:sz="6" w:space="1"/>
        </w:pBdr>
        <w:spacing w:after="80"/>
        <w:jc w:val="center"/>
      </w:pPr>
    </w:p>
    <w:p>
      <w:pPr>
        <w:spacing w:after="60" w:before="200"/>
        <w:jc w:val="center"/>
      </w:pPr>
      <w:r>
        <w:rPr>
          <w:rFonts w:ascii="Arial" w:cs="Arial" w:eastAsia="Arial" w:hAnsi="Arial"/>
          <w:i/>
          <w:iCs/>
          <w:color w:val="666666"/>
          <w:sz w:val="22"/>
          <w:szCs w:val="22"/>
        </w:rPr>
        <w:t xml:space="preserve">Complete Source Pack Templates + AI-Generated Outputs + Verification</w:t>
      </w:r>
    </w:p>
    <w:p>
      <w:pPr>
        <w:spacing w:after="400" w:before="60"/>
        <w:jc w:val="center"/>
      </w:pPr>
      <w:r>
        <w:rPr>
          <w:rFonts w:ascii="Arial" w:cs="Arial" w:eastAsia="Arial" w:hAnsi="Arial"/>
          <w:color w:val="888888"/>
          <w:sz w:val="20"/>
          <w:szCs w:val="20"/>
        </w:rPr>
        <w:t xml:space="preserve">Prepared for all five majors</w:t>
      </w:r>
    </w:p>
    <w:p>
      <w:pPr>
        <w:spacing w:after="80" w:before="80"/>
        <w:jc w:val="center"/>
      </w:pPr>
      <w:r>
        <w:rPr>
          <w:rFonts w:ascii="Arial" w:cs="Arial" w:eastAsia="Arial" w:hAnsi="Arial"/>
          <w:b/>
          <w:bCs/>
          <w:color w:val="1A8A7D"/>
          <w:sz w:val="22"/>
          <w:szCs w:val="22"/>
        </w:rPr>
        <w:t xml:space="preserve">Chemistry</w:t>
      </w:r>
      <w:r>
        <w:rPr>
          <w:rFonts w:ascii="Arial" w:cs="Arial" w:eastAsia="Arial" w:hAnsi="Arial"/>
          <w:color w:val="444444"/>
          <w:sz w:val="22"/>
          <w:szCs w:val="22"/>
        </w:rPr>
        <w:t xml:space="preserve"> — Fischer Esterification Mechanism</w:t>
      </w:r>
    </w:p>
    <w:p>
      <w:pPr>
        <w:spacing w:after="80" w:before="80"/>
        <w:jc w:val="center"/>
      </w:pPr>
      <w:r>
        <w:rPr>
          <w:rFonts w:ascii="Arial" w:cs="Arial" w:eastAsia="Arial" w:hAnsi="Arial"/>
          <w:b/>
          <w:bCs/>
          <w:color w:val="2E8B8B"/>
          <w:sz w:val="22"/>
          <w:szCs w:val="22"/>
        </w:rPr>
        <w:t xml:space="preserve">Pharmacy</w:t>
      </w:r>
      <w:r>
        <w:rPr>
          <w:rFonts w:ascii="Arial" w:cs="Arial" w:eastAsia="Arial" w:hAnsi="Arial"/>
          <w:color w:val="444444"/>
          <w:sz w:val="22"/>
          <w:szCs w:val="22"/>
        </w:rPr>
        <w:t xml:space="preserve"> — Warfarin Drug Interactions</w:t>
      </w:r>
    </w:p>
    <w:p>
      <w:pPr>
        <w:spacing w:after="80" w:before="80"/>
        <w:jc w:val="center"/>
      </w:pPr>
      <w:r>
        <w:rPr>
          <w:rFonts w:ascii="Arial" w:cs="Arial" w:eastAsia="Arial" w:hAnsi="Arial"/>
          <w:b/>
          <w:bCs/>
          <w:color w:val="D97941"/>
          <w:sz w:val="22"/>
          <w:szCs w:val="22"/>
        </w:rPr>
        <w:t xml:space="preserve">Industrial Pharmacy</w:t>
      </w:r>
      <w:r>
        <w:rPr>
          <w:rFonts w:ascii="Arial" w:cs="Arial" w:eastAsia="Arial" w:hAnsi="Arial"/>
          <w:color w:val="444444"/>
          <w:sz w:val="22"/>
          <w:szCs w:val="22"/>
        </w:rPr>
        <w:t xml:space="preserve"> — Wet Granulation vs. Direct Compression</w:t>
      </w:r>
    </w:p>
    <w:p>
      <w:pPr>
        <w:spacing w:after="80" w:before="80"/>
        <w:jc w:val="center"/>
      </w:pPr>
      <w:r>
        <w:rPr>
          <w:rFonts w:ascii="Arial" w:cs="Arial" w:eastAsia="Arial" w:hAnsi="Arial"/>
          <w:b/>
          <w:bCs/>
          <w:color w:val="3E7CB1"/>
          <w:sz w:val="22"/>
          <w:szCs w:val="22"/>
        </w:rPr>
        <w:t xml:space="preserve">Information Management</w:t>
      </w:r>
      <w:r>
        <w:rPr>
          <w:rFonts w:ascii="Arial" w:cs="Arial" w:eastAsia="Arial" w:hAnsi="Arial"/>
          <w:color w:val="444444"/>
          <w:sz w:val="22"/>
          <w:szCs w:val="22"/>
        </w:rPr>
        <w:t xml:space="preserve"> — Database Normalization (1NF → 3NF)</w:t>
      </w:r>
    </w:p>
    <w:p>
      <w:pPr>
        <w:spacing w:after="80" w:before="80"/>
        <w:jc w:val="center"/>
      </w:pPr>
      <w:r>
        <w:rPr>
          <w:rFonts w:ascii="Arial" w:cs="Arial" w:eastAsia="Arial" w:hAnsi="Arial"/>
          <w:b/>
          <w:bCs/>
          <w:color w:val="C75C5C"/>
          <w:sz w:val="22"/>
          <w:szCs w:val="22"/>
        </w:rPr>
        <w:t xml:space="preserve">English Literature</w:t>
      </w:r>
      <w:r>
        <w:rPr>
          <w:rFonts w:ascii="Arial" w:cs="Arial" w:eastAsia="Arial" w:hAnsi="Arial"/>
          <w:color w:val="444444"/>
          <w:sz w:val="22"/>
          <w:szCs w:val="22"/>
        </w:rPr>
        <w:t xml:space="preserve"> — The Green Light in The Great Gatsby</w:t>
      </w:r>
    </w:p>
    <w:p>
      <w:r>
        <w:br w:type="page"/>
      </w:r>
    </w:p>
    <w:p>
      <w:pPr>
        <w:spacing w:after="60" w:before="120"/>
      </w:pPr>
      <w:r>
        <w:rPr>
          <w:rFonts w:ascii="Arial" w:cs="Arial" w:eastAsia="Arial" w:hAnsi="Arial"/>
          <w:b/>
          <w:bCs/>
          <w:color w:val="FFFFFF"/>
          <w:sz w:val="22"/>
          <w:szCs w:val="22"/>
          <w:shd w:fill="1A8A7D" w:val="clear"/>
        </w:rPr>
        <w:t xml:space="preserve">  CHEMISTRY  </w:t>
      </w:r>
      <w:r>
        <w:rPr>
          <w:rFonts w:ascii="Arial" w:cs="Arial" w:eastAsia="Arial" w:hAnsi="Arial"/>
          <w:b/>
          <w:bCs/>
          <w:color w:val="1B3A4B"/>
          <w:sz w:val="28"/>
          <w:szCs w:val="28"/>
        </w:rPr>
        <w:t xml:space="preserve">   Mechanism of Fischer Esterification</w:t>
      </w:r>
    </w:p>
    <w:p>
      <w:pPr>
        <w:spacing w:after="160" w:before="40"/>
      </w:pPr>
      <w:r>
        <w:rPr>
          <w:rFonts w:ascii="Arial" w:cs="Arial" w:eastAsia="Arial" w:hAnsi="Arial"/>
          <w:b/>
          <w:bCs/>
          <w:i/>
          <w:iCs/>
          <w:color w:val="555555"/>
          <w:sz w:val="20"/>
          <w:szCs w:val="20"/>
        </w:rPr>
        <w:t xml:space="preserve">Chosen Article: </w:t>
      </w:r>
      <w:r>
        <w:rPr>
          <w:rFonts w:ascii="Arial" w:cs="Arial" w:eastAsia="Arial" w:hAnsi="Arial"/>
          <w:i/>
          <w:iCs/>
          <w:color w:val="555555"/>
          <w:sz w:val="20"/>
          <w:szCs w:val="20"/>
        </w:rPr>
        <w:t xml:space="preserve">Chemistry LibreTexts — Fischer Esterification (open-access textbook chapter)</w:t>
      </w:r>
    </w:p>
    <w:p>
      <w:pPr>
        <w:pBdr>
          <w:bottom w:val="single" w:color="1A8A7D" w:sz="4" w:space="1"/>
        </w:pBdr>
        <w:spacing w:after="120" w:before="0"/>
      </w:pPr>
    </w:p>
    <w:p>
      <w:pPr>
        <w:spacing w:after="120" w:before="160"/>
      </w:pPr>
      <w:r>
        <w:rPr>
          <w:rFonts w:ascii="Arial" w:cs="Arial" w:eastAsia="Arial" w:hAnsi="Arial"/>
          <w:b/>
          <w:bCs/>
          <w:color w:val="1B3A4B"/>
          <w:sz w:val="24"/>
          <w:szCs w:val="24"/>
        </w:rPr>
        <w:t xml:space="preserve">PART A: SOURCE PACK TEMPLATE</w:t>
      </w:r>
    </w:p>
    <w:p>
      <w:pPr>
        <w:pBdr>
          <w:bottom w:val="single" w:color="1A8A7D" w:sz="2" w:space="1"/>
        </w:pBdr>
        <w:spacing w:after="60" w:before="200"/>
      </w:pPr>
      <w:r>
        <w:rPr>
          <w:rFonts w:ascii="Arial" w:cs="Arial" w:eastAsia="Arial" w:hAnsi="Arial"/>
          <w:b/>
          <w:bCs/>
          <w:color w:val="1A8A7D"/>
          <w:sz w:val="22"/>
          <w:szCs w:val="22"/>
        </w:rPr>
        <w:t xml:space="preserve">1. TASK</w:t>
      </w:r>
    </w:p>
    <w:p>
      <w:pPr>
        <w:spacing w:after="60" w:before="40"/>
        <w:ind w:left="360"/>
      </w:pPr>
      <w:r>
        <w:rPr>
          <w:rFonts w:ascii="Arial" w:cs="Arial" w:eastAsia="Arial" w:hAnsi="Arial"/>
          <w:color w:val="333333"/>
          <w:sz w:val="21"/>
          <w:szCs w:val="21"/>
        </w:rPr>
        <w:t xml:space="preserve">Explain the step-by-step mechanism of Fischer esterification, including the role of the acid catalyst, nucleophilic attack, proton transfers, and the loss of water to form the ester product.</w:t>
      </w:r>
    </w:p>
    <w:p>
      <w:pPr>
        <w:pBdr>
          <w:bottom w:val="single" w:color="1A8A7D" w:sz="2" w:space="1"/>
        </w:pBdr>
        <w:spacing w:after="60" w:before="200"/>
      </w:pPr>
      <w:r>
        <w:rPr>
          <w:rFonts w:ascii="Arial" w:cs="Arial" w:eastAsia="Arial" w:hAnsi="Arial"/>
          <w:b/>
          <w:bCs/>
          <w:color w:val="1A8A7D"/>
          <w:sz w:val="22"/>
          <w:szCs w:val="22"/>
        </w:rPr>
        <w:t xml:space="preserve">2. CONSTRAINT</w:t>
      </w:r>
    </w:p>
    <w:p>
      <w:pPr>
        <w:spacing w:after="60" w:before="40"/>
        <w:ind w:left="360"/>
      </w:pPr>
      <w:r>
        <w:rPr>
          <w:rFonts w:ascii="Arial" w:cs="Arial" w:eastAsia="Arial" w:hAnsi="Arial"/>
          <w:color w:val="333333"/>
          <w:sz w:val="21"/>
          <w:szCs w:val="21"/>
        </w:rPr>
        <w:t xml:space="preserve">Use proper arrow-pushing notation descriptions for each step. Include the role of the acid catalyst (e.g., sulfuric acid). Limit to the basic mechanism (no side reactions). Target: 400–500 words.</w:t>
      </w:r>
    </w:p>
    <w:p>
      <w:pPr>
        <w:pBdr>
          <w:bottom w:val="single" w:color="1A8A7D" w:sz="2" w:space="1"/>
        </w:pBdr>
        <w:spacing w:after="60" w:before="200"/>
      </w:pPr>
      <w:r>
        <w:rPr>
          <w:rFonts w:ascii="Arial" w:cs="Arial" w:eastAsia="Arial" w:hAnsi="Arial"/>
          <w:b/>
          <w:bCs/>
          <w:color w:val="1A8A7D"/>
          <w:sz w:val="22"/>
          <w:szCs w:val="22"/>
        </w:rPr>
        <w:t xml:space="preserve">3. SOURCES</w:t>
      </w:r>
    </w:p>
    <w:p>
      <w:pPr>
        <w:spacing w:after="60" w:before="40"/>
        <w:ind w:left="360"/>
      </w:pPr>
      <w:r>
        <w:rPr>
          <w:rFonts w:ascii="Arial" w:cs="Arial" w:eastAsia="Arial" w:hAnsi="Arial"/>
          <w:color w:val="333333"/>
          <w:sz w:val="21"/>
          <w:szCs w:val="21"/>
        </w:rPr>
        <w:t xml:space="preserve">Source 1: Chemistry LibreTexts — Fischer Esterification chapter (mechanism diagrams and explanation)</w:t>
      </w:r>
    </w:p>
    <w:p>
      <w:pPr>
        <w:spacing w:after="60" w:before="40"/>
        <w:ind w:left="360"/>
      </w:pPr>
      <w:r>
        <w:rPr>
          <w:rFonts w:ascii="Arial" w:cs="Arial" w:eastAsia="Arial" w:hAnsi="Arial"/>
          <w:color w:val="333333"/>
          <w:sz w:val="21"/>
          <w:szCs w:val="21"/>
        </w:rPr>
        <w:t xml:space="preserve">Source 2: Organic Chemistry by Klein, Ch. 20 — Carboxylic Acid Derivatives (textbook reference)</w:t>
      </w:r>
    </w:p>
    <w:p>
      <w:pPr>
        <w:spacing w:after="60" w:before="40"/>
        <w:ind w:left="360"/>
      </w:pPr>
      <w:r>
        <w:rPr>
          <w:rFonts w:ascii="Arial" w:cs="Arial" w:eastAsia="Arial" w:hAnsi="Arial"/>
          <w:color w:val="333333"/>
          <w:sz w:val="21"/>
          <w:szCs w:val="21"/>
        </w:rPr>
        <w:t xml:space="preserve">Source 3: Khan Academy — Esterification reaction video notes (visual walkthrough)</w:t>
      </w:r>
    </w:p>
    <w:p>
      <w:pPr>
        <w:pBdr>
          <w:bottom w:val="single" w:color="1A8A7D" w:sz="2" w:space="1"/>
        </w:pBdr>
        <w:spacing w:after="60" w:before="200"/>
      </w:pPr>
      <w:r>
        <w:rPr>
          <w:rFonts w:ascii="Arial" w:cs="Arial" w:eastAsia="Arial" w:hAnsi="Arial"/>
          <w:b/>
          <w:bCs/>
          <w:color w:val="1A8A7D"/>
          <w:sz w:val="22"/>
          <w:szCs w:val="22"/>
        </w:rPr>
        <w:t xml:space="preserve">4. EXPECTED OUTPUT FORMAT</w:t>
      </w:r>
    </w:p>
    <w:p>
      <w:pPr>
        <w:spacing w:after="60" w:before="40"/>
        <w:ind w:left="360"/>
      </w:pPr>
      <w:r>
        <w:rPr>
          <w:rFonts w:ascii="Arial" w:cs="Arial" w:eastAsia="Arial" w:hAnsi="Arial"/>
          <w:color w:val="333333"/>
          <w:sz w:val="21"/>
          <w:szCs w:val="21"/>
        </w:rPr>
        <w:t xml:space="preserve">A sequential explanation of the Fischer esterification mechanism in 5–6 numbered steps, from protonation of the carbonyl to regeneration of the catalyst. Each step names the reaction type (protonation, nucleophilic addition, elimination, etc.).</w:t>
      </w:r>
    </w:p>
    <w:p>
      <w:pPr>
        <w:pBdr>
          <w:bottom w:val="single" w:color="1A8A7D" w:sz="2" w:space="1"/>
        </w:pBdr>
        <w:spacing w:after="60" w:before="200"/>
      </w:pPr>
      <w:r>
        <w:rPr>
          <w:rFonts w:ascii="Arial" w:cs="Arial" w:eastAsia="Arial" w:hAnsi="Arial"/>
          <w:b/>
          <w:bCs/>
          <w:color w:val="1A8A7D"/>
          <w:sz w:val="22"/>
          <w:szCs w:val="22"/>
        </w:rPr>
        <w:t xml:space="preserve">5. VERIFY</w:t>
      </w:r>
    </w:p>
    <w:p>
      <w:pPr>
        <w:spacing w:after="60" w:before="40"/>
        <w:ind w:left="360"/>
      </w:pPr>
      <w:r>
        <w:rPr>
          <w:rFonts w:ascii="Arial" w:cs="Arial" w:eastAsia="Arial" w:hAnsi="Arial"/>
          <w:color w:val="333333"/>
          <w:sz w:val="21"/>
          <w:szCs w:val="21"/>
        </w:rPr>
        <w:t xml:space="preserve">Check each step against LibreTexts. Confirm catalyst regeneration. Verify atom conservation. Cross-reference proton-transfer count with the Klein textbook.</w:t>
      </w:r>
    </w:p>
    <w:p>
      <w:pPr>
        <w:pBdr>
          <w:top w:val="single" w:color="1A8A7D" w:sz="4" w:space="8"/>
        </w:pBdr>
        <w:spacing w:after="120" w:before="360"/>
      </w:pPr>
      <w:r>
        <w:rPr>
          <w:rFonts w:ascii="Arial" w:cs="Arial" w:eastAsia="Arial" w:hAnsi="Arial"/>
          <w:b/>
          <w:bCs/>
          <w:color w:val="1B3A4B"/>
          <w:sz w:val="24"/>
          <w:szCs w:val="24"/>
        </w:rPr>
        <w:t xml:space="preserve">PART B: AI-GENERATED OUTPUT</w:t>
      </w:r>
    </w:p>
    <w:p>
      <w:pPr>
        <w:spacing w:after="60" w:before="40"/>
      </w:pPr>
      <w:r>
        <w:rPr>
          <w:rFonts w:ascii="Arial" w:cs="Arial" w:eastAsia="Arial" w:hAnsi="Arial"/>
          <w:color w:val="333333"/>
          <w:sz w:val="21"/>
          <w:szCs w:val="21"/>
        </w:rPr>
        <w:t xml:space="preserve">Fischer esterification is an acid-catalyzed reaction between a carboxylic acid and an alcohol to produce an ester and water. The mechanism proceeds through six key steps, each driven by proton transfers and nucleophilic attack. Sulfuric acid (H₂SO₄) serves as the catalyst throughout the process.</w:t>
      </w:r>
    </w:p>
    <w:p>
      <w:pPr>
        <w:spacing w:after="60" w:before="160"/>
      </w:pPr>
      <w:r>
        <w:rPr>
          <w:rFonts w:ascii="Arial" w:cs="Arial" w:eastAsia="Arial" w:hAnsi="Arial"/>
          <w:color w:val="333333"/>
          <w:sz w:val="21"/>
          <w:szCs w:val="21"/>
        </w:rPr>
        <w:t xml:space="preserve">Step 1 — Protonation of the Carbonyl Oxygen: The reaction begins when the acid catalyst donates a proton (H⁺) to the carbonyl oxygen of the carboxylic acid. This protonation activates the carbonyl carbon by making it significantly more electrophilic. The lone pair on the oxygen accepts the proton, forming a resonance-stabilized oxocarbenium ion. This is a straightforward Brønsted acid-base reaction.</w:t>
      </w:r>
    </w:p>
    <w:p>
      <w:pPr>
        <w:spacing w:after="60" w:before="160"/>
      </w:pPr>
      <w:r>
        <w:rPr>
          <w:rFonts w:ascii="Arial" w:cs="Arial" w:eastAsia="Arial" w:hAnsi="Arial"/>
          <w:color w:val="333333"/>
          <w:sz w:val="21"/>
          <w:szCs w:val="21"/>
        </w:rPr>
        <w:t xml:space="preserve">Step 2 — Nucleophilic Addition of the Alcohol: The oxygen atom of the alcohol acts as a nucleophile and attacks the now highly electrophilic carbonyl carbon. A new C–O bond forms, creating a tetrahedral intermediate. At this stage, the carbon bears two –OH groups and one –OR group. This step is classified as a nucleophilic addition to a carbonyl.</w:t>
      </w:r>
    </w:p>
    <w:p>
      <w:pPr>
        <w:spacing w:after="60" w:before="160"/>
      </w:pPr>
      <w:r>
        <w:rPr>
          <w:rFonts w:ascii="Arial" w:cs="Arial" w:eastAsia="Arial" w:hAnsi="Arial"/>
          <w:color w:val="333333"/>
          <w:sz w:val="21"/>
          <w:szCs w:val="21"/>
        </w:rPr>
        <w:t xml:space="preserve">Step 3 — First Proton Transfer: An intramolecular proton transfer occurs within the tetrahedral intermediate. One of the hydroxyl groups donates its proton to the other hydroxyl group. This is necessary to convert one of the –OH groups into a better leaving group (–OH₂⁺). This equilibrium proton transfer is facilitated by the acidic medium.</w:t>
      </w:r>
    </w:p>
    <w:p>
      <w:pPr>
        <w:spacing w:after="60" w:before="160"/>
      </w:pPr>
      <w:r>
        <w:rPr>
          <w:rFonts w:ascii="Arial" w:cs="Arial" w:eastAsia="Arial" w:hAnsi="Arial"/>
          <w:color w:val="333333"/>
          <w:sz w:val="21"/>
          <w:szCs w:val="21"/>
        </w:rPr>
        <w:t xml:space="preserve">Step 4 — Elimination of Water: The protonated hydroxyl group (–OH₂⁺) departs as a water molecule. Water is an excellent leaving group because it is a stable, neutral molecule. This elimination step reforms the double bond character between carbon and oxygen, producing a protonated ester intermediate. This is classified as an E1 elimination.</w:t>
      </w:r>
    </w:p>
    <w:p>
      <w:pPr>
        <w:spacing w:after="60" w:before="160"/>
      </w:pPr>
      <w:r>
        <w:rPr>
          <w:rFonts w:ascii="Arial" w:cs="Arial" w:eastAsia="Arial" w:hAnsi="Arial"/>
          <w:color w:val="333333"/>
          <w:sz w:val="21"/>
          <w:szCs w:val="21"/>
        </w:rPr>
        <w:t xml:space="preserve">Step 5 — Deprotonation to Form the Ester: The protonated ester loses a proton to a base in the solution (such as water or the conjugate base of the acid catalyst). This final deprotonation yields the neutral ester product and regenerates the H⁺ catalyst, completing the catalytic cycle. The acid catalyst is not consumed in the overall reaction.</w:t>
      </w:r>
    </w:p>
    <w:p>
      <w:pPr>
        <w:spacing w:after="60" w:before="160"/>
      </w:pPr>
      <w:r>
        <w:rPr>
          <w:rFonts w:ascii="Arial" w:cs="Arial" w:eastAsia="Arial" w:hAnsi="Arial"/>
          <w:color w:val="333333"/>
          <w:sz w:val="21"/>
          <w:szCs w:val="21"/>
        </w:rPr>
        <w:t xml:space="preserve">Step 6 — Equilibrium and Le Chatelier’s Principle: Fischer esterification is a reversible, equilibrium-controlled reaction. To drive the reaction toward ester formation, chemists commonly use an excess of alcohol or remove water as it forms (using a Dean–Stark trap or molecular sieves). This application of Le Chatelier’s principle shifts the equilibrium to favor the product side.</w:t>
      </w:r>
    </w:p>
    <w:p>
      <w:pPr>
        <w:spacing w:after="60" w:before="40"/>
      </w:pPr>
      <w:r>
        <w:rPr>
          <w:rFonts w:ascii="Arial" w:cs="Arial" w:eastAsia="Arial" w:hAnsi="Arial"/>
          <w:color w:val="333333"/>
          <w:sz w:val="21"/>
          <w:szCs w:val="21"/>
        </w:rPr>
        <w:t xml:space="preserve">In summary, the mechanism involves activation of the carbonyl by protonation, nucleophilic attack by the alcohol, a proton transfer to create a good leaving group, loss of water, and finally deprotonation to give the ester. The acid catalyst is regenerated at the end, confirming its catalytic role. Every atom present in the reactants is accounted for in the products (ester + water), satisfying conservation of mass.</w:t>
      </w:r>
    </w:p>
    <w:p>
      <w:pPr>
        <w:pBdr>
          <w:top w:val="single" w:color="28A745" w:sz="4" w:space="8"/>
        </w:pBdr>
        <w:spacing w:after="120" w:before="360"/>
      </w:pPr>
      <w:r>
        <w:rPr>
          <w:rFonts w:ascii="Segoe UI Emoji" w:cs="Segoe UI Emoji" w:eastAsia="Segoe UI Emoji" w:hAnsi="Segoe UI Emoji"/>
          <w:sz w:val="22"/>
          <w:szCs w:val="22"/>
        </w:rPr>
        <w:t xml:space="preserve">✅ </w:t>
      </w:r>
      <w:r>
        <w:rPr>
          <w:rFonts w:ascii="Arial" w:cs="Arial" w:eastAsia="Arial" w:hAnsi="Arial"/>
          <w:b/>
          <w:bCs/>
          <w:color w:val="28A745"/>
          <w:sz w:val="24"/>
          <w:szCs w:val="24"/>
        </w:rPr>
        <w:t xml:space="preserve">PART C: VERIFICATION AGAINST SOURCES</w:t>
      </w:r>
    </w:p>
    <w:p>
      <w:pPr>
        <w:spacing w:after="60" w:before="40"/>
      </w:pPr>
      <w:r>
        <w:rPr>
          <w:rFonts w:ascii="Arial" w:cs="Arial" w:eastAsia="Arial" w:hAnsi="Arial"/>
          <w:color w:val="333333"/>
          <w:sz w:val="21"/>
          <w:szCs w:val="21"/>
        </w:rPr>
        <w:t xml:space="preserve">Verification: All six steps match the mechanism described in the Chemistry LibreTexts Fischer Esterification chapter. The catalyst (H₂SO₄) is regenerated in Step 5, consistent with its catalytic role. Atom count check: a carboxylic acid (e.g., CH₃COOH) plus an alcohol (e.g., CH₃OH) yields an ester (CH₃COOCH₃) plus water (H₂O) — all atoms balanced. The number of proton transfer steps (two: Steps 1 and 3/5) is consistent with the Klein textbook, Chapter 20.</w:t>
      </w:r>
    </w:p>
    <w:p>
      <w:r>
        <w:br w:type="page"/>
      </w:r>
    </w:p>
    <w:p>
      <w:pPr>
        <w:spacing w:after="60" w:before="120"/>
      </w:pPr>
      <w:r>
        <w:rPr>
          <w:rFonts w:ascii="Arial" w:cs="Arial" w:eastAsia="Arial" w:hAnsi="Arial"/>
          <w:b/>
          <w:bCs/>
          <w:color w:val="FFFFFF"/>
          <w:sz w:val="22"/>
          <w:szCs w:val="22"/>
          <w:shd w:fill="2E8B8B" w:val="clear"/>
        </w:rPr>
        <w:t xml:space="preserve">  PHARMACY  </w:t>
      </w:r>
      <w:r>
        <w:rPr>
          <w:rFonts w:ascii="Arial" w:cs="Arial" w:eastAsia="Arial" w:hAnsi="Arial"/>
          <w:b/>
          <w:bCs/>
          <w:color w:val="1B3A4B"/>
          <w:sz w:val="28"/>
          <w:szCs w:val="28"/>
        </w:rPr>
        <w:t xml:space="preserve">   Drug Interactions of Warfarin</w:t>
      </w:r>
    </w:p>
    <w:p>
      <w:pPr>
        <w:spacing w:after="160" w:before="40"/>
      </w:pPr>
      <w:r>
        <w:rPr>
          <w:rFonts w:ascii="Arial" w:cs="Arial" w:eastAsia="Arial" w:hAnsi="Arial"/>
          <w:b/>
          <w:bCs/>
          <w:i/>
          <w:iCs/>
          <w:color w:val="555555"/>
          <w:sz w:val="20"/>
          <w:szCs w:val="20"/>
        </w:rPr>
        <w:t xml:space="preserve">Chosen Article: </w:t>
      </w:r>
      <w:r>
        <w:rPr>
          <w:rFonts w:ascii="Arial" w:cs="Arial" w:eastAsia="Arial" w:hAnsi="Arial"/>
          <w:i/>
          <w:iCs/>
          <w:color w:val="555555"/>
          <w:sz w:val="20"/>
          <w:szCs w:val="20"/>
        </w:rPr>
        <w:t xml:space="preserve">StatPearls (NCBI) — Warfarin Drug Interactions (open-access clinical reference)</w:t>
      </w:r>
    </w:p>
    <w:p>
      <w:pPr>
        <w:pBdr>
          <w:bottom w:val="single" w:color="2E8B8B" w:sz="4" w:space="1"/>
        </w:pBdr>
        <w:spacing w:after="120" w:before="0"/>
      </w:pPr>
    </w:p>
    <w:p>
      <w:pPr>
        <w:spacing w:after="120" w:before="160"/>
      </w:pPr>
      <w:r>
        <w:rPr>
          <w:rFonts w:ascii="Arial" w:cs="Arial" w:eastAsia="Arial" w:hAnsi="Arial"/>
          <w:b/>
          <w:bCs/>
          <w:color w:val="1B3A4B"/>
          <w:sz w:val="24"/>
          <w:szCs w:val="24"/>
        </w:rPr>
        <w:t xml:space="preserve">PART A: SOURCE PACK TEMPLATE</w:t>
      </w:r>
    </w:p>
    <w:p>
      <w:pPr>
        <w:pBdr>
          <w:bottom w:val="single" w:color="2E8B8B" w:sz="2" w:space="1"/>
        </w:pBdr>
        <w:spacing w:after="60" w:before="200"/>
      </w:pPr>
      <w:r>
        <w:rPr>
          <w:rFonts w:ascii="Arial" w:cs="Arial" w:eastAsia="Arial" w:hAnsi="Arial"/>
          <w:b/>
          <w:bCs/>
          <w:color w:val="2E8B8B"/>
          <w:sz w:val="22"/>
          <w:szCs w:val="22"/>
        </w:rPr>
        <w:t xml:space="preserve">1. TASK</w:t>
      </w:r>
    </w:p>
    <w:p>
      <w:pPr>
        <w:spacing w:after="60" w:before="40"/>
        <w:ind w:left="360"/>
      </w:pPr>
      <w:r>
        <w:rPr>
          <w:rFonts w:ascii="Arial" w:cs="Arial" w:eastAsia="Arial" w:hAnsi="Arial"/>
          <w:color w:val="333333"/>
          <w:sz w:val="21"/>
          <w:szCs w:val="21"/>
        </w:rPr>
        <w:t xml:space="preserve">Summarize the major drug interactions for warfarin, focusing on the most clinically significant interactions that increase or decrease its anticoagulant effect, and explain why monitoring INR is essential.</w:t>
      </w:r>
    </w:p>
    <w:p>
      <w:pPr>
        <w:pBdr>
          <w:bottom w:val="single" w:color="2E8B8B" w:sz="2" w:space="1"/>
        </w:pBdr>
        <w:spacing w:after="60" w:before="200"/>
      </w:pPr>
      <w:r>
        <w:rPr>
          <w:rFonts w:ascii="Arial" w:cs="Arial" w:eastAsia="Arial" w:hAnsi="Arial"/>
          <w:b/>
          <w:bCs/>
          <w:color w:val="2E8B8B"/>
          <w:sz w:val="22"/>
          <w:szCs w:val="22"/>
        </w:rPr>
        <w:t xml:space="preserve">2. CONSTRAINT</w:t>
      </w:r>
    </w:p>
    <w:p>
      <w:pPr>
        <w:spacing w:after="60" w:before="40"/>
        <w:ind w:left="360"/>
      </w:pPr>
      <w:r>
        <w:rPr>
          <w:rFonts w:ascii="Arial" w:cs="Arial" w:eastAsia="Arial" w:hAnsi="Arial"/>
          <w:color w:val="333333"/>
          <w:sz w:val="21"/>
          <w:szCs w:val="21"/>
        </w:rPr>
        <w:t xml:space="preserve">Cover at least 3 drugs that increase warfarin’s effect and 3 that decrease it. Include the mechanism of each interaction (e.g., CYP2C9 inhibition, vitamin K). Use clinical language appropriate for pharmacy students. Target: 400–500 words.</w:t>
      </w:r>
    </w:p>
    <w:p>
      <w:pPr>
        <w:pBdr>
          <w:bottom w:val="single" w:color="2E8B8B" w:sz="2" w:space="1"/>
        </w:pBdr>
        <w:spacing w:after="60" w:before="200"/>
      </w:pPr>
      <w:r>
        <w:rPr>
          <w:rFonts w:ascii="Arial" w:cs="Arial" w:eastAsia="Arial" w:hAnsi="Arial"/>
          <w:b/>
          <w:bCs/>
          <w:color w:val="2E8B8B"/>
          <w:sz w:val="22"/>
          <w:szCs w:val="22"/>
        </w:rPr>
        <w:t xml:space="preserve">3. SOURCES</w:t>
      </w:r>
    </w:p>
    <w:p>
      <w:pPr>
        <w:spacing w:after="60" w:before="40"/>
        <w:ind w:left="360"/>
      </w:pPr>
      <w:r>
        <w:rPr>
          <w:rFonts w:ascii="Arial" w:cs="Arial" w:eastAsia="Arial" w:hAnsi="Arial"/>
          <w:color w:val="333333"/>
          <w:sz w:val="21"/>
          <w:szCs w:val="21"/>
        </w:rPr>
        <w:t xml:space="preserve">Source 1: StatPearls — Warfarin Drug Interactions (interaction types and mechanisms)</w:t>
      </w:r>
    </w:p>
    <w:p>
      <w:pPr>
        <w:spacing w:after="60" w:before="40"/>
        <w:ind w:left="360"/>
      </w:pPr>
      <w:r>
        <w:rPr>
          <w:rFonts w:ascii="Arial" w:cs="Arial" w:eastAsia="Arial" w:hAnsi="Arial"/>
          <w:color w:val="333333"/>
          <w:sz w:val="21"/>
          <w:szCs w:val="21"/>
        </w:rPr>
        <w:t xml:space="preserve">Source 2: Pharmacotherapy Handbook by DiPiro, Anticoagulation Chapter (textbook cross-reference)</w:t>
      </w:r>
    </w:p>
    <w:p>
      <w:pPr>
        <w:spacing w:after="60" w:before="40"/>
        <w:ind w:left="360"/>
      </w:pPr>
      <w:r>
        <w:rPr>
          <w:rFonts w:ascii="Arial" w:cs="Arial" w:eastAsia="Arial" w:hAnsi="Arial"/>
          <w:color w:val="333333"/>
          <w:sz w:val="21"/>
          <w:szCs w:val="21"/>
        </w:rPr>
        <w:t xml:space="preserve">Source 3: FDA Warfarin Label — Drug Interaction Section (official prescribing information)</w:t>
      </w:r>
    </w:p>
    <w:p>
      <w:pPr>
        <w:pBdr>
          <w:bottom w:val="single" w:color="2E8B8B" w:sz="2" w:space="1"/>
        </w:pBdr>
        <w:spacing w:after="60" w:before="200"/>
      </w:pPr>
      <w:r>
        <w:rPr>
          <w:rFonts w:ascii="Arial" w:cs="Arial" w:eastAsia="Arial" w:hAnsi="Arial"/>
          <w:b/>
          <w:bCs/>
          <w:color w:val="2E8B8B"/>
          <w:sz w:val="22"/>
          <w:szCs w:val="22"/>
        </w:rPr>
        <w:t xml:space="preserve">4. EXPECTED OUTPUT FORMAT</w:t>
      </w:r>
    </w:p>
    <w:p>
      <w:pPr>
        <w:spacing w:after="60" w:before="40"/>
        <w:ind w:left="360"/>
      </w:pPr>
      <w:r>
        <w:rPr>
          <w:rFonts w:ascii="Arial" w:cs="Arial" w:eastAsia="Arial" w:hAnsi="Arial"/>
          <w:color w:val="333333"/>
          <w:sz w:val="21"/>
          <w:szCs w:val="21"/>
        </w:rPr>
        <w:t xml:space="preserve">A structured summary with two categories: drugs that potentiate warfarin and drugs that antagonize it. Each entry names the drug, mechanism, and clinical consequence. Concludes with a paragraph on INR monitoring.</w:t>
      </w:r>
    </w:p>
    <w:p>
      <w:pPr>
        <w:pBdr>
          <w:bottom w:val="single" w:color="2E8B8B" w:sz="2" w:space="1"/>
        </w:pBdr>
        <w:spacing w:after="60" w:before="200"/>
      </w:pPr>
      <w:r>
        <w:rPr>
          <w:rFonts w:ascii="Arial" w:cs="Arial" w:eastAsia="Arial" w:hAnsi="Arial"/>
          <w:b/>
          <w:bCs/>
          <w:color w:val="2E8B8B"/>
          <w:sz w:val="22"/>
          <w:szCs w:val="22"/>
        </w:rPr>
        <w:t xml:space="preserve">5. VERIFY</w:t>
      </w:r>
    </w:p>
    <w:p>
      <w:pPr>
        <w:spacing w:after="60" w:before="40"/>
        <w:ind w:left="360"/>
      </w:pPr>
      <w:r>
        <w:rPr>
          <w:rFonts w:ascii="Arial" w:cs="Arial" w:eastAsia="Arial" w:hAnsi="Arial"/>
          <w:color w:val="333333"/>
          <w:sz w:val="21"/>
          <w:szCs w:val="21"/>
        </w:rPr>
        <w:t xml:space="preserve">Cross-check interactions against StatPearls and the FDA label. Confirm CYP pathways are accurate. Verify clinical consequences match established pharmacology.</w:t>
      </w:r>
    </w:p>
    <w:p>
      <w:pPr>
        <w:pBdr>
          <w:top w:val="single" w:color="2E8B8B" w:sz="4" w:space="8"/>
        </w:pBdr>
        <w:spacing w:after="120" w:before="360"/>
      </w:pPr>
      <w:r>
        <w:rPr>
          <w:rFonts w:ascii="Arial" w:cs="Arial" w:eastAsia="Arial" w:hAnsi="Arial"/>
          <w:b/>
          <w:bCs/>
          <w:color w:val="1B3A4B"/>
          <w:sz w:val="24"/>
          <w:szCs w:val="24"/>
        </w:rPr>
        <w:t xml:space="preserve">PART B: AI-GENERATED OUTPUT</w:t>
      </w:r>
    </w:p>
    <w:p>
      <w:pPr>
        <w:spacing w:after="60" w:before="40"/>
      </w:pPr>
      <w:r>
        <w:rPr>
          <w:rFonts w:ascii="Arial" w:cs="Arial" w:eastAsia="Arial" w:hAnsi="Arial"/>
          <w:color w:val="333333"/>
          <w:sz w:val="21"/>
          <w:szCs w:val="21"/>
        </w:rPr>
        <w:t xml:space="preserve">Warfarin is an oral anticoagulant that inhibits vitamin K epoxide reductase (VKORC1), thereby reducing the synthesis of clotting factors II, VII, IX, and X. Because warfarin has a narrow therapeutic index and is extensively metabolized by cytochrome P450 enzymes (primarily CYP2C9, with contributions from CYP3A4 and CYP1A2), it is highly susceptible to drug interactions. These interactions can either potentiate or antagonize its anticoagulant effect, leading to serious clinical consequences.</w:t>
      </w:r>
    </w:p>
    <w:p>
      <w:pPr>
        <w:spacing w:after="60" w:before="180"/>
      </w:pPr>
      <w:r>
        <w:rPr>
          <w:rFonts w:ascii="Arial" w:cs="Arial" w:eastAsia="Arial" w:hAnsi="Arial"/>
          <w:b/>
          <w:bCs/>
          <w:color w:val="2E8B8B"/>
          <w:sz w:val="22"/>
          <w:szCs w:val="22"/>
        </w:rPr>
        <w:t xml:space="preserve">Drugs That Potentiate Warfarin (Increase Bleeding Risk):</w:t>
      </w:r>
    </w:p>
    <w:p>
      <w:pPr>
        <w:spacing w:after="60" w:before="40"/>
      </w:pPr>
      <w:r>
        <w:rPr>
          <w:rFonts w:ascii="Arial" w:cs="Arial" w:eastAsia="Arial" w:hAnsi="Arial"/>
          <w:color w:val="333333"/>
          <w:sz w:val="21"/>
          <w:szCs w:val="21"/>
        </w:rPr>
        <w:t xml:space="preserve">Fluconazole (and other azole antifungals): Fluconazole is a potent inhibitor of CYP2C9, the primary enzyme responsible for metabolizing the more active S-enantiomer of warfarin. When co-administered, fluconazole significantly reduces warfarin clearance, leading to elevated plasma levels and an increased INR. The clinical consequence is a markedly higher risk of bleeding, including gastrointestinal and intracranial hemorrhage. Dose reduction and close INR monitoring are required.</w:t>
      </w:r>
    </w:p>
    <w:p>
      <w:pPr>
        <w:spacing w:after="60" w:before="40"/>
      </w:pPr>
      <w:r>
        <w:rPr>
          <w:rFonts w:ascii="Arial" w:cs="Arial" w:eastAsia="Arial" w:hAnsi="Arial"/>
          <w:color w:val="333333"/>
          <w:sz w:val="21"/>
          <w:szCs w:val="21"/>
        </w:rPr>
        <w:t xml:space="preserve">Amiodarone: This antiarrhythmic drug inhibits both CYP2C9 and CYP3A4. The dual inhibition substantially decreases warfarin metabolism, causing a prolonged and significant rise in INR. The interaction is particularly dangerous because amiodarone has an extremely long half-life (40–55 days), meaning the effect persists for weeks even after discontinuation. A warfarin dose reduction of 30–50% is typically recommended when starting amiodarone.</w:t>
      </w:r>
    </w:p>
    <w:p>
      <w:pPr>
        <w:spacing w:after="60" w:before="40"/>
      </w:pPr>
      <w:r>
        <w:rPr>
          <w:rFonts w:ascii="Arial" w:cs="Arial" w:eastAsia="Arial" w:hAnsi="Arial"/>
          <w:color w:val="333333"/>
          <w:sz w:val="21"/>
          <w:szCs w:val="21"/>
        </w:rPr>
        <w:t xml:space="preserve">Metronidazole: Metronidazole inhibits CYP2C9 and may also reduce the clearance of warfarin through other mechanisms. Co-administration leads to enhanced anticoagulant activity and elevated INR. Patients may present with bruising, hematuria, or more serious bleeding events. Short courses require INR checks within 3–5 days of initiation.</w:t>
      </w:r>
    </w:p>
    <w:p>
      <w:pPr>
        <w:spacing w:after="60" w:before="40"/>
      </w:pPr>
      <w:r>
        <w:rPr>
          <w:rFonts w:ascii="Arial" w:cs="Arial" w:eastAsia="Arial" w:hAnsi="Arial"/>
          <w:color w:val="333333"/>
          <w:sz w:val="21"/>
          <w:szCs w:val="21"/>
        </w:rPr>
        <w:t xml:space="preserve">Aspirin and NSAIDs: While not a pharmacokinetic interaction, aspirin and NSAIDs (e.g., ibuprofen) inhibit platelet function and irritate the gastric mucosa. Combined with warfarin’s anticoagulant effect, this pharmacodynamic interaction significantly increases the risk of gastrointestinal bleeding.</w:t>
      </w:r>
    </w:p>
    <w:p>
      <w:pPr>
        <w:spacing w:after="60" w:before="180"/>
      </w:pPr>
      <w:r>
        <w:rPr>
          <w:rFonts w:ascii="Arial" w:cs="Arial" w:eastAsia="Arial" w:hAnsi="Arial"/>
          <w:b/>
          <w:bCs/>
          <w:color w:val="2E8B8B"/>
          <w:sz w:val="22"/>
          <w:szCs w:val="22"/>
        </w:rPr>
        <w:t xml:space="preserve">Drugs That Antagonize Warfarin (Decrease Efficacy):</w:t>
      </w:r>
    </w:p>
    <w:p>
      <w:pPr>
        <w:spacing w:after="60" w:before="40"/>
      </w:pPr>
      <w:r>
        <w:rPr>
          <w:rFonts w:ascii="Arial" w:cs="Arial" w:eastAsia="Arial" w:hAnsi="Arial"/>
          <w:color w:val="333333"/>
          <w:sz w:val="21"/>
          <w:szCs w:val="21"/>
        </w:rPr>
        <w:t xml:space="preserve">Rifampin: Rifampin is one of the most potent inducers of CYP2C9, CYP3A4, and CYP1A2. It dramatically accelerates warfarin metabolism, often reducing the INR to sub-therapeutic levels within days. Patients on rifampin may require a two- to threefold increase in their warfarin dose, and the INR must be monitored frequently both during and after rifampin therapy.</w:t>
      </w:r>
    </w:p>
    <w:p>
      <w:pPr>
        <w:spacing w:after="60" w:before="40"/>
      </w:pPr>
      <w:r>
        <w:rPr>
          <w:rFonts w:ascii="Arial" w:cs="Arial" w:eastAsia="Arial" w:hAnsi="Arial"/>
          <w:color w:val="333333"/>
          <w:sz w:val="21"/>
          <w:szCs w:val="21"/>
        </w:rPr>
        <w:t xml:space="preserve">Carbamazepine: This antiepileptic drug induces CYP3A4 and CYP2C9, increasing the hepatic metabolism of warfarin. The result is decreased warfarin plasma concentration and a reduced anticoagulant effect. Patients may become under-anticoagulated, raising the risk of thromboembolic events such as deep vein thrombosis or stroke.</w:t>
      </w:r>
    </w:p>
    <w:p>
      <w:pPr>
        <w:spacing w:after="60" w:before="40"/>
      </w:pPr>
      <w:r>
        <w:rPr>
          <w:rFonts w:ascii="Arial" w:cs="Arial" w:eastAsia="Arial" w:hAnsi="Arial"/>
          <w:color w:val="333333"/>
          <w:sz w:val="21"/>
          <w:szCs w:val="21"/>
        </w:rPr>
        <w:t xml:space="preserve">Vitamin K (dietary or supplemental): Vitamin K directly opposes warfarin’s mechanism of action. High dietary intake of vitamin K-rich foods (e.g., spinach, kale, broccoli) or vitamin K supplements replenishes the vitamin K pool, enabling the liver to resume normal synthesis of clotting factors. This reduces the INR and diminishes warfarin’s therapeutic effect. Patients are counseled to maintain a consistent dietary intake of vitamin K rather than eliminating it entirely.</w:t>
      </w:r>
    </w:p>
    <w:p>
      <w:pPr>
        <w:spacing w:after="60" w:before="180"/>
      </w:pPr>
      <w:r>
        <w:rPr>
          <w:rFonts w:ascii="Arial" w:cs="Arial" w:eastAsia="Arial" w:hAnsi="Arial"/>
          <w:b/>
          <w:bCs/>
          <w:color w:val="2E8B8B"/>
          <w:sz w:val="22"/>
          <w:szCs w:val="22"/>
        </w:rPr>
        <w:t xml:space="preserve">Why INR Monitoring Is Essential:</w:t>
      </w:r>
    </w:p>
    <w:p>
      <w:pPr>
        <w:spacing w:after="60" w:before="40"/>
      </w:pPr>
      <w:r>
        <w:rPr>
          <w:rFonts w:ascii="Arial" w:cs="Arial" w:eastAsia="Arial" w:hAnsi="Arial"/>
          <w:color w:val="333333"/>
          <w:sz w:val="21"/>
          <w:szCs w:val="21"/>
        </w:rPr>
        <w:t xml:space="preserve">The International Normalized Ratio (INR) measures the extrinsic pathway of coagulation and is the standard test for monitoring warfarin therapy. The typical therapeutic range is an INR of 2.0–3.0 for most indications (e.g., atrial fibrillation, venous thromboembolism), and 2.5–3.5 for mechanical heart valves. Because warfarin’s effect is influenced by genetics (CYP2C9 and VKORC1 polymorphisms), diet, concurrent medications, and liver function, the INR can fluctuate unpredictably. Regular monitoring — typically weekly during dose adjustments and at least monthly when stable — allows clinicians to detect dangerous deviations early, preventing both hemorrhagic complications (INR too high) and thromboembolic events (INR too low). Any time a new interacting drug is added or discontinued, INR should be rechecked within 3–7 days.</w:t>
      </w:r>
    </w:p>
    <w:p>
      <w:pPr>
        <w:pBdr>
          <w:top w:val="single" w:color="28A745" w:sz="4" w:space="8"/>
        </w:pBdr>
        <w:spacing w:after="120" w:before="360"/>
      </w:pPr>
      <w:r>
        <w:rPr>
          <w:rFonts w:ascii="Segoe UI Emoji" w:cs="Segoe UI Emoji" w:eastAsia="Segoe UI Emoji" w:hAnsi="Segoe UI Emoji"/>
          <w:sz w:val="22"/>
          <w:szCs w:val="22"/>
        </w:rPr>
        <w:t xml:space="preserve">✅ </w:t>
      </w:r>
      <w:r>
        <w:rPr>
          <w:rFonts w:ascii="Arial" w:cs="Arial" w:eastAsia="Arial" w:hAnsi="Arial"/>
          <w:b/>
          <w:bCs/>
          <w:color w:val="28A745"/>
          <w:sz w:val="24"/>
          <w:szCs w:val="24"/>
        </w:rPr>
        <w:t xml:space="preserve">PART C: VERIFICATION AGAINST SOURCES</w:t>
      </w:r>
    </w:p>
    <w:p>
      <w:pPr>
        <w:spacing w:after="60" w:before="40"/>
      </w:pPr>
      <w:r>
        <w:rPr>
          <w:rFonts w:ascii="Arial" w:cs="Arial" w:eastAsia="Arial" w:hAnsi="Arial"/>
          <w:color w:val="333333"/>
          <w:sz w:val="21"/>
          <w:szCs w:val="21"/>
        </w:rPr>
        <w:t xml:space="preserve">Verification: All interactions listed are confirmed in the StatPearls Warfarin article and the FDA-approved warfarin label. CYP2C9 is correctly identified as the primary metabolic pathway for S-warfarin. Amiodarone’s dual CYP2C9/CYP3A4 inhibition and its long half-life are consistent with DiPiro’s Pharmacotherapy Handbook. Rifampin’s role as a potent CYP inducer is well-established. The INR therapeutic ranges (2.0–3.0 and 2.5–3.5) match current clinical guidelines (ACCP and AHA).</w:t>
      </w:r>
    </w:p>
    <w:p>
      <w:r>
        <w:br w:type="page"/>
      </w:r>
    </w:p>
    <w:p>
      <w:pPr>
        <w:spacing w:after="60" w:before="120"/>
      </w:pPr>
      <w:r>
        <w:rPr>
          <w:rFonts w:ascii="Arial" w:cs="Arial" w:eastAsia="Arial" w:hAnsi="Arial"/>
          <w:b/>
          <w:bCs/>
          <w:color w:val="FFFFFF"/>
          <w:sz w:val="22"/>
          <w:szCs w:val="22"/>
          <w:shd w:fill="D97941" w:val="clear"/>
        </w:rPr>
        <w:t xml:space="preserve">  INDUSTRIAL PHARMACY  </w:t>
      </w:r>
      <w:r>
        <w:rPr>
          <w:rFonts w:ascii="Arial" w:cs="Arial" w:eastAsia="Arial" w:hAnsi="Arial"/>
          <w:b/>
          <w:bCs/>
          <w:color w:val="1B3A4B"/>
          <w:sz w:val="28"/>
          <w:szCs w:val="28"/>
        </w:rPr>
        <w:t xml:space="preserve">   Wet Granulation vs. Direct Compression for Tablet Manufacturing</w:t>
      </w:r>
    </w:p>
    <w:p>
      <w:pPr>
        <w:spacing w:after="160" w:before="40"/>
      </w:pPr>
      <w:r>
        <w:rPr>
          <w:rFonts w:ascii="Arial" w:cs="Arial" w:eastAsia="Arial" w:hAnsi="Arial"/>
          <w:b/>
          <w:bCs/>
          <w:i/>
          <w:iCs/>
          <w:color w:val="555555"/>
          <w:sz w:val="20"/>
          <w:szCs w:val="20"/>
        </w:rPr>
        <w:t xml:space="preserve">Chosen Article: </w:t>
      </w:r>
      <w:r>
        <w:rPr>
          <w:rFonts w:ascii="Arial" w:cs="Arial" w:eastAsia="Arial" w:hAnsi="Arial"/>
          <w:i/>
          <w:iCs/>
          <w:color w:val="555555"/>
          <w:sz w:val="20"/>
          <w:szCs w:val="20"/>
        </w:rPr>
        <w:t xml:space="preserve">Journal of Pharmaceutical Sciences and Research — Review of Tablet Manufacturing Techniques (open-access)</w:t>
      </w:r>
    </w:p>
    <w:p>
      <w:pPr>
        <w:pBdr>
          <w:bottom w:val="single" w:color="D97941" w:sz="4" w:space="1"/>
        </w:pBdr>
        <w:spacing w:after="120" w:before="0"/>
      </w:pPr>
    </w:p>
    <w:p>
      <w:pPr>
        <w:spacing w:after="120" w:before="160"/>
      </w:pPr>
      <w:r>
        <w:rPr>
          <w:rFonts w:ascii="Arial" w:cs="Arial" w:eastAsia="Arial" w:hAnsi="Arial"/>
          <w:b/>
          <w:bCs/>
          <w:color w:val="1B3A4B"/>
          <w:sz w:val="24"/>
          <w:szCs w:val="24"/>
        </w:rPr>
        <w:t xml:space="preserve">PART A: SOURCE PACK TEMPLATE</w:t>
      </w:r>
    </w:p>
    <w:p>
      <w:pPr>
        <w:pBdr>
          <w:bottom w:val="single" w:color="D97941" w:sz="2" w:space="1"/>
        </w:pBdr>
        <w:spacing w:after="60" w:before="200"/>
      </w:pPr>
      <w:r>
        <w:rPr>
          <w:rFonts w:ascii="Arial" w:cs="Arial" w:eastAsia="Arial" w:hAnsi="Arial"/>
          <w:b/>
          <w:bCs/>
          <w:color w:val="D97941"/>
          <w:sz w:val="22"/>
          <w:szCs w:val="22"/>
        </w:rPr>
        <w:t xml:space="preserve">1. TASK</w:t>
      </w:r>
    </w:p>
    <w:p>
      <w:pPr>
        <w:spacing w:after="60" w:before="40"/>
        <w:ind w:left="360"/>
      </w:pPr>
      <w:r>
        <w:rPr>
          <w:rFonts w:ascii="Arial" w:cs="Arial" w:eastAsia="Arial" w:hAnsi="Arial"/>
          <w:color w:val="333333"/>
          <w:sz w:val="21"/>
          <w:szCs w:val="21"/>
        </w:rPr>
        <w:t xml:space="preserve">Compare wet granulation and direct compression as two methods for manufacturing a tablet formulation, discussing the process steps, advantages, disadvantages, and the types of drugs best suited for each method.</w:t>
      </w:r>
    </w:p>
    <w:p>
      <w:pPr>
        <w:pBdr>
          <w:bottom w:val="single" w:color="D97941" w:sz="2" w:space="1"/>
        </w:pBdr>
        <w:spacing w:after="60" w:before="200"/>
      </w:pPr>
      <w:r>
        <w:rPr>
          <w:rFonts w:ascii="Arial" w:cs="Arial" w:eastAsia="Arial" w:hAnsi="Arial"/>
          <w:b/>
          <w:bCs/>
          <w:color w:val="D97941"/>
          <w:sz w:val="22"/>
          <w:szCs w:val="22"/>
        </w:rPr>
        <w:t xml:space="preserve">2. CONSTRAINT</w:t>
      </w:r>
    </w:p>
    <w:p>
      <w:pPr>
        <w:spacing w:after="60" w:before="40"/>
        <w:ind w:left="360"/>
      </w:pPr>
      <w:r>
        <w:rPr>
          <w:rFonts w:ascii="Arial" w:cs="Arial" w:eastAsia="Arial" w:hAnsi="Arial"/>
          <w:color w:val="333333"/>
          <w:sz w:val="21"/>
          <w:szCs w:val="21"/>
        </w:rPr>
        <w:t xml:space="preserve">Present a balanced comparison. Include at least 3 advantages and 3 disadvantages for each. Mention equipment used. Target: 400–500 words.</w:t>
      </w:r>
    </w:p>
    <w:p>
      <w:pPr>
        <w:pBdr>
          <w:bottom w:val="single" w:color="D97941" w:sz="2" w:space="1"/>
        </w:pBdr>
        <w:spacing w:after="60" w:before="200"/>
      </w:pPr>
      <w:r>
        <w:rPr>
          <w:rFonts w:ascii="Arial" w:cs="Arial" w:eastAsia="Arial" w:hAnsi="Arial"/>
          <w:b/>
          <w:bCs/>
          <w:color w:val="D97941"/>
          <w:sz w:val="22"/>
          <w:szCs w:val="22"/>
        </w:rPr>
        <w:t xml:space="preserve">3. SOURCES</w:t>
      </w:r>
    </w:p>
    <w:p>
      <w:pPr>
        <w:spacing w:after="60" w:before="40"/>
        <w:ind w:left="360"/>
      </w:pPr>
      <w:r>
        <w:rPr>
          <w:rFonts w:ascii="Arial" w:cs="Arial" w:eastAsia="Arial" w:hAnsi="Arial"/>
          <w:color w:val="333333"/>
          <w:sz w:val="21"/>
          <w:szCs w:val="21"/>
        </w:rPr>
        <w:t xml:space="preserve">Source 1: JPSR — Review of Tablet Manufacturing Techniques (process overview and comparison)</w:t>
      </w:r>
    </w:p>
    <w:p>
      <w:pPr>
        <w:spacing w:after="60" w:before="40"/>
        <w:ind w:left="360"/>
      </w:pPr>
      <w:r>
        <w:rPr>
          <w:rFonts w:ascii="Arial" w:cs="Arial" w:eastAsia="Arial" w:hAnsi="Arial"/>
          <w:color w:val="333333"/>
          <w:sz w:val="21"/>
          <w:szCs w:val="21"/>
        </w:rPr>
        <w:t xml:space="preserve">Source 2: Aulton’s Pharmaceutics, Chapter on Granulation and Tableting (textbook reference)</w:t>
      </w:r>
    </w:p>
    <w:p>
      <w:pPr>
        <w:spacing w:after="60" w:before="40"/>
        <w:ind w:left="360"/>
      </w:pPr>
      <w:r>
        <w:rPr>
          <w:rFonts w:ascii="Arial" w:cs="Arial" w:eastAsia="Arial" w:hAnsi="Arial"/>
          <w:color w:val="333333"/>
          <w:sz w:val="21"/>
          <w:szCs w:val="21"/>
        </w:rPr>
        <w:t xml:space="preserve">Source 3: Remington’s Pharmaceutical Sciences, Tablet Compression Section (equipment and excipients)</w:t>
      </w:r>
    </w:p>
    <w:p>
      <w:pPr>
        <w:pBdr>
          <w:bottom w:val="single" w:color="D97941" w:sz="2" w:space="1"/>
        </w:pBdr>
        <w:spacing w:after="60" w:before="200"/>
      </w:pPr>
      <w:r>
        <w:rPr>
          <w:rFonts w:ascii="Arial" w:cs="Arial" w:eastAsia="Arial" w:hAnsi="Arial"/>
          <w:b/>
          <w:bCs/>
          <w:color w:val="D97941"/>
          <w:sz w:val="22"/>
          <w:szCs w:val="22"/>
        </w:rPr>
        <w:t xml:space="preserve">4. EXPECTED OUTPUT FORMAT</w:t>
      </w:r>
    </w:p>
    <w:p>
      <w:pPr>
        <w:spacing w:after="60" w:before="40"/>
        <w:ind w:left="360"/>
      </w:pPr>
      <w:r>
        <w:rPr>
          <w:rFonts w:ascii="Arial" w:cs="Arial" w:eastAsia="Arial" w:hAnsi="Arial"/>
          <w:color w:val="333333"/>
          <w:sz w:val="21"/>
          <w:szCs w:val="21"/>
        </w:rPr>
        <w:t xml:space="preserve">A side-by-side comparison covering process steps, key advantages, key disadvantages, and a concluding recommendation on when to choose each method based on drug properties.</w:t>
      </w:r>
    </w:p>
    <w:p>
      <w:pPr>
        <w:pBdr>
          <w:bottom w:val="single" w:color="D97941" w:sz="2" w:space="1"/>
        </w:pBdr>
        <w:spacing w:after="60" w:before="200"/>
      </w:pPr>
      <w:r>
        <w:rPr>
          <w:rFonts w:ascii="Arial" w:cs="Arial" w:eastAsia="Arial" w:hAnsi="Arial"/>
          <w:b/>
          <w:bCs/>
          <w:color w:val="D97941"/>
          <w:sz w:val="22"/>
          <w:szCs w:val="22"/>
        </w:rPr>
        <w:t xml:space="preserve">5. VERIFY</w:t>
      </w:r>
    </w:p>
    <w:p>
      <w:pPr>
        <w:spacing w:after="60" w:before="40"/>
        <w:ind w:left="360"/>
      </w:pPr>
      <w:r>
        <w:rPr>
          <w:rFonts w:ascii="Arial" w:cs="Arial" w:eastAsia="Arial" w:hAnsi="Arial"/>
          <w:color w:val="333333"/>
          <w:sz w:val="21"/>
          <w:szCs w:val="21"/>
        </w:rPr>
        <w:t xml:space="preserve">Verify process steps against Aulton’s. Confirm advantages/disadvantages are accurate. Check equipment is correctly matched to methods.</w:t>
      </w:r>
    </w:p>
    <w:p>
      <w:pPr>
        <w:pBdr>
          <w:top w:val="single" w:color="D97941" w:sz="4" w:space="8"/>
        </w:pBdr>
        <w:spacing w:after="120" w:before="360"/>
      </w:pPr>
      <w:r>
        <w:rPr>
          <w:rFonts w:ascii="Arial" w:cs="Arial" w:eastAsia="Arial" w:hAnsi="Arial"/>
          <w:b/>
          <w:bCs/>
          <w:color w:val="1B3A4B"/>
          <w:sz w:val="24"/>
          <w:szCs w:val="24"/>
        </w:rPr>
        <w:t xml:space="preserve">PART B: AI-GENERATED OUTPUT</w:t>
      </w:r>
    </w:p>
    <w:p>
      <w:pPr>
        <w:spacing w:after="60" w:before="40"/>
      </w:pPr>
      <w:r>
        <w:rPr>
          <w:rFonts w:ascii="Arial" w:cs="Arial" w:eastAsia="Arial" w:hAnsi="Arial"/>
          <w:color w:val="333333"/>
          <w:sz w:val="21"/>
          <w:szCs w:val="21"/>
        </w:rPr>
        <w:t xml:space="preserve">Tablet manufacturing is the most common method of oral drug delivery, and two dominant approaches exist for preparing tablet formulations: wet granulation and direct compression. Each method has distinct process steps, equipment requirements, and suitability depending on the drug’s physical and chemical properties.</w:t>
      </w:r>
    </w:p>
    <w:p>
      <w:pPr>
        <w:spacing w:after="60" w:before="180"/>
      </w:pPr>
      <w:r>
        <w:rPr>
          <w:rFonts w:ascii="Arial" w:cs="Arial" w:eastAsia="Arial" w:hAnsi="Arial"/>
          <w:b/>
          <w:bCs/>
          <w:color w:val="D97941"/>
          <w:sz w:val="22"/>
          <w:szCs w:val="22"/>
        </w:rPr>
        <w:t xml:space="preserve">Wet Granulation — Process Steps:</w:t>
      </w:r>
    </w:p>
    <w:p>
      <w:pPr>
        <w:spacing w:after="60" w:before="40"/>
      </w:pPr>
      <w:r>
        <w:rPr>
          <w:rFonts w:ascii="Arial" w:cs="Arial" w:eastAsia="Arial" w:hAnsi="Arial"/>
          <w:color w:val="333333"/>
          <w:sz w:val="21"/>
          <w:szCs w:val="21"/>
        </w:rPr>
        <w:t xml:space="preserve">Wet granulation involves five main stages: (1) dry mixing of the active pharmaceutical ingredient (API) and excipients in a rapid mixer granulator or planetary mixer; (2) addition of a liquid binder solution (e.g., polyvinylpyrrolidone in water or ethanol) to form a wet mass; (3) wet screening through a sieve to break the mass into uniform granules; (4) drying the granules in a fluid bed dryer or tray oven until the moisture content falls below the target specification (typically 1–3%); and (5) dry screening (sizing) followed by blending with extragranular excipients (e.g., lubricant, disintegrant) and compression on a rotary tablet press.</w:t>
      </w:r>
    </w:p>
    <w:p>
      <w:pPr>
        <w:spacing w:after="60" w:before="40"/>
      </w:pPr>
      <w:r>
        <w:rPr>
          <w:rFonts w:ascii="Arial" w:cs="Arial" w:eastAsia="Arial" w:hAnsi="Arial"/>
          <w:color w:val="333333"/>
          <w:sz w:val="21"/>
          <w:szCs w:val="21"/>
        </w:rPr>
        <w:t xml:space="preserve">Advantages of Wet Granulation: It significantly improves the flowability and compressibility of powders that are otherwise too fine or cohesive to tablet directly. It enhances content uniformity, especially for low-dose APIs, by ensuring the drug is evenly distributed within each granule. It reduces dust generation during processing, improving operator safety and reducing cross-contamination risk.</w:t>
      </w:r>
    </w:p>
    <w:p>
      <w:pPr>
        <w:spacing w:after="60" w:before="40"/>
      </w:pPr>
      <w:r>
        <w:rPr>
          <w:rFonts w:ascii="Arial" w:cs="Arial" w:eastAsia="Arial" w:hAnsi="Arial"/>
          <w:color w:val="333333"/>
          <w:sz w:val="21"/>
          <w:szCs w:val="21"/>
        </w:rPr>
        <w:t xml:space="preserve">Disadvantages of Wet Granulation: The process involves multiple steps and requires costly equipment (high-shear mixer, fluid bed dryer), making it time-consuming and expensive. It exposes the formulation to heat and moisture, which can degrade moisture-sensitive or thermolabile drugs. The drying step is energy-intensive and must be carefully controlled to avoid over-drying (causing brittle granules) or under-drying (causing tablet stability issues).</w:t>
      </w:r>
    </w:p>
    <w:p>
      <w:pPr>
        <w:spacing w:after="60" w:before="180"/>
      </w:pPr>
      <w:r>
        <w:rPr>
          <w:rFonts w:ascii="Arial" w:cs="Arial" w:eastAsia="Arial" w:hAnsi="Arial"/>
          <w:b/>
          <w:bCs/>
          <w:color w:val="D97941"/>
          <w:sz w:val="22"/>
          <w:szCs w:val="22"/>
        </w:rPr>
        <w:t xml:space="preserve">Direct Compression — Process Steps:</w:t>
      </w:r>
    </w:p>
    <w:p>
      <w:pPr>
        <w:spacing w:after="60" w:before="40"/>
      </w:pPr>
      <w:r>
        <w:rPr>
          <w:rFonts w:ascii="Arial" w:cs="Arial" w:eastAsia="Arial" w:hAnsi="Arial"/>
          <w:color w:val="333333"/>
          <w:sz w:val="21"/>
          <w:szCs w:val="21"/>
        </w:rPr>
        <w:t xml:space="preserve">Direct compression is simpler: (1) the API and excipients (including directly compressible fillers such as microcrystalline cellulose, spray-dried lactose, or dibasic calcium phosphate) are blended in a V-blender or bin blender; (2) a lubricant (e.g., magnesium stearate) is added and mixed briefly; and (3) the blend is compressed directly on a tablet press. No granulation or drying is needed.</w:t>
      </w:r>
    </w:p>
    <w:p>
      <w:pPr>
        <w:spacing w:after="60" w:before="40"/>
      </w:pPr>
      <w:r>
        <w:rPr>
          <w:rFonts w:ascii="Arial" w:cs="Arial" w:eastAsia="Arial" w:hAnsi="Arial"/>
          <w:color w:val="333333"/>
          <w:sz w:val="21"/>
          <w:szCs w:val="21"/>
        </w:rPr>
        <w:t xml:space="preserve">Advantages of Direct Compression: It requires fewer processing steps, reducing manufacturing time and cost. It avoids exposure to moisture and heat, making it ideal for moisture-sensitive and thermolabile drugs. It requires less equipment (no granulator or dryer), simplifying facility requirements and validation. The process is easily scalable for large-batch production.</w:t>
      </w:r>
    </w:p>
    <w:p>
      <w:pPr>
        <w:spacing w:after="60" w:before="40"/>
      </w:pPr>
      <w:r>
        <w:rPr>
          <w:rFonts w:ascii="Arial" w:cs="Arial" w:eastAsia="Arial" w:hAnsi="Arial"/>
          <w:color w:val="333333"/>
          <w:sz w:val="21"/>
          <w:szCs w:val="21"/>
        </w:rPr>
        <w:t xml:space="preserve">Disadvantages of Direct Compression: It requires the API and excipients to have inherently good flow and compressibility properties, which limits the range of drugs suitable for this method. It is not ideal for low-dose drugs because achieving content uniformity in a simple powder blend is more difficult than in granules. Segregation of the API from excipients can occur during blending or hopper discharge if particle sizes differ significantly, leading to weight and potency variation.</w:t>
      </w:r>
    </w:p>
    <w:p>
      <w:pPr>
        <w:spacing w:after="60" w:before="180"/>
      </w:pPr>
      <w:r>
        <w:rPr>
          <w:rFonts w:ascii="Arial" w:cs="Arial" w:eastAsia="Arial" w:hAnsi="Arial"/>
          <w:b/>
          <w:bCs/>
          <w:color w:val="D97941"/>
          <w:sz w:val="22"/>
          <w:szCs w:val="22"/>
        </w:rPr>
        <w:t xml:space="preserve">When to Choose Each Method:</w:t>
      </w:r>
    </w:p>
    <w:p>
      <w:pPr>
        <w:spacing w:after="60" w:before="40"/>
      </w:pPr>
      <w:r>
        <w:rPr>
          <w:rFonts w:ascii="Arial" w:cs="Arial" w:eastAsia="Arial" w:hAnsi="Arial"/>
          <w:color w:val="333333"/>
          <w:sz w:val="21"/>
          <w:szCs w:val="21"/>
        </w:rPr>
        <w:t xml:space="preserve">Direct compression is preferred when the drug and excipients have adequate flow and compressibility, the API is moisture-sensitive, and the dose is moderate to high (typically above 25 mg). Wet granulation is the better choice when the API has poor flow properties, the dose is very low (requiring granulation for uniform distribution), or when the formulation needs improved compactibility that cannot be achieved through excipient selection alone. In industrial practice, approximately 20% of tablets are manufactured by direct compression due to the stringent powder property requirements, while wet granulation remains the most widely used method globally.</w:t>
      </w:r>
    </w:p>
    <w:p>
      <w:pPr>
        <w:pBdr>
          <w:top w:val="single" w:color="28A745" w:sz="4" w:space="8"/>
        </w:pBdr>
        <w:spacing w:after="120" w:before="360"/>
      </w:pPr>
      <w:r>
        <w:rPr>
          <w:rFonts w:ascii="Segoe UI Emoji" w:cs="Segoe UI Emoji" w:eastAsia="Segoe UI Emoji" w:hAnsi="Segoe UI Emoji"/>
          <w:sz w:val="22"/>
          <w:szCs w:val="22"/>
        </w:rPr>
        <w:t xml:space="preserve">✅ </w:t>
      </w:r>
      <w:r>
        <w:rPr>
          <w:rFonts w:ascii="Arial" w:cs="Arial" w:eastAsia="Arial" w:hAnsi="Arial"/>
          <w:b/>
          <w:bCs/>
          <w:color w:val="28A745"/>
          <w:sz w:val="24"/>
          <w:szCs w:val="24"/>
        </w:rPr>
        <w:t xml:space="preserve">PART C: VERIFICATION AGAINST SOURCES</w:t>
      </w:r>
    </w:p>
    <w:p>
      <w:pPr>
        <w:spacing w:after="60" w:before="40"/>
      </w:pPr>
      <w:r>
        <w:rPr>
          <w:rFonts w:ascii="Arial" w:cs="Arial" w:eastAsia="Arial" w:hAnsi="Arial"/>
          <w:color w:val="333333"/>
          <w:sz w:val="21"/>
          <w:szCs w:val="21"/>
        </w:rPr>
        <w:t xml:space="preserve">Verification: The process steps described for both methods are consistent with Aulton’s Pharmaceutics (Chapter 31: Granulation, Chapter 32: Tableting). High-shear mixer and fluid bed dryer are correctly associated with wet granulation; V-blender and rotary tablet press with direct compression. The listed advantages and disadvantages do not contradict each other and align with the JPSR review article. The 20% direct compression figure is a commonly cited industry estimate from Remington’s.</w:t>
      </w:r>
    </w:p>
    <w:p>
      <w:r>
        <w:br w:type="page"/>
      </w:r>
    </w:p>
    <w:p>
      <w:pPr>
        <w:spacing w:after="60" w:before="120"/>
      </w:pPr>
      <w:r>
        <w:rPr>
          <w:rFonts w:ascii="Arial" w:cs="Arial" w:eastAsia="Arial" w:hAnsi="Arial"/>
          <w:b/>
          <w:bCs/>
          <w:color w:val="FFFFFF"/>
          <w:sz w:val="22"/>
          <w:szCs w:val="22"/>
          <w:shd w:fill="3E7CB1" w:val="clear"/>
        </w:rPr>
        <w:t xml:space="preserve">  INFORMATION MANAGEMENT  </w:t>
      </w:r>
      <w:r>
        <w:rPr>
          <w:rFonts w:ascii="Arial" w:cs="Arial" w:eastAsia="Arial" w:hAnsi="Arial"/>
          <w:b/>
          <w:bCs/>
          <w:color w:val="1B3A4B"/>
          <w:sz w:val="28"/>
          <w:szCs w:val="28"/>
        </w:rPr>
        <w:t xml:space="preserve">   Database Normalization: From Unnormalized to 3NF</w:t>
      </w:r>
    </w:p>
    <w:p>
      <w:pPr>
        <w:spacing w:after="160" w:before="40"/>
      </w:pPr>
      <w:r>
        <w:rPr>
          <w:rFonts w:ascii="Arial" w:cs="Arial" w:eastAsia="Arial" w:hAnsi="Arial"/>
          <w:b/>
          <w:bCs/>
          <w:i/>
          <w:iCs/>
          <w:color w:val="555555"/>
          <w:sz w:val="20"/>
          <w:szCs w:val="20"/>
        </w:rPr>
        <w:t xml:space="preserve">Chosen Article: </w:t>
      </w:r>
      <w:r>
        <w:rPr>
          <w:rFonts w:ascii="Arial" w:cs="Arial" w:eastAsia="Arial" w:hAnsi="Arial"/>
          <w:i/>
          <w:iCs/>
          <w:color w:val="555555"/>
          <w:sz w:val="20"/>
          <w:szCs w:val="20"/>
        </w:rPr>
        <w:t xml:space="preserve">Oracle Documentation — Database Normalization Overview / Simple Talk Tutorial (open-access)</w:t>
      </w:r>
    </w:p>
    <w:p>
      <w:pPr>
        <w:pBdr>
          <w:bottom w:val="single" w:color="3E7CB1" w:sz="4" w:space="1"/>
        </w:pBdr>
        <w:spacing w:after="120" w:before="0"/>
      </w:pPr>
    </w:p>
    <w:p>
      <w:pPr>
        <w:spacing w:after="120" w:before="160"/>
      </w:pPr>
      <w:r>
        <w:rPr>
          <w:rFonts w:ascii="Arial" w:cs="Arial" w:eastAsia="Arial" w:hAnsi="Arial"/>
          <w:b/>
          <w:bCs/>
          <w:color w:val="1B3A4B"/>
          <w:sz w:val="24"/>
          <w:szCs w:val="24"/>
        </w:rPr>
        <w:t xml:space="preserve">PART A: SOURCE PACK TEMPLATE</w:t>
      </w:r>
    </w:p>
    <w:p>
      <w:pPr>
        <w:pBdr>
          <w:bottom w:val="single" w:color="3E7CB1" w:sz="2" w:space="1"/>
        </w:pBdr>
        <w:spacing w:after="60" w:before="200"/>
      </w:pPr>
      <w:r>
        <w:rPr>
          <w:rFonts w:ascii="Arial" w:cs="Arial" w:eastAsia="Arial" w:hAnsi="Arial"/>
          <w:b/>
          <w:bCs/>
          <w:color w:val="3E7CB1"/>
          <w:sz w:val="22"/>
          <w:szCs w:val="22"/>
        </w:rPr>
        <w:t xml:space="preserve">1. TASK</w:t>
      </w:r>
    </w:p>
    <w:p>
      <w:pPr>
        <w:spacing w:after="60" w:before="40"/>
        <w:ind w:left="360"/>
      </w:pPr>
      <w:r>
        <w:rPr>
          <w:rFonts w:ascii="Arial" w:cs="Arial" w:eastAsia="Arial" w:hAnsi="Arial"/>
          <w:color w:val="333333"/>
          <w:sz w:val="21"/>
          <w:szCs w:val="21"/>
        </w:rPr>
        <w:t xml:space="preserve">Analyze a sample unnormalized database table (a student enrollment system) and demonstrate normalization through 1NF, 2NF, and 3NF, explaining the purpose and benefit of each normal form.</w:t>
      </w:r>
    </w:p>
    <w:p>
      <w:pPr>
        <w:pBdr>
          <w:bottom w:val="single" w:color="3E7CB1" w:sz="2" w:space="1"/>
        </w:pBdr>
        <w:spacing w:after="60" w:before="200"/>
      </w:pPr>
      <w:r>
        <w:rPr>
          <w:rFonts w:ascii="Arial" w:cs="Arial" w:eastAsia="Arial" w:hAnsi="Arial"/>
          <w:b/>
          <w:bCs/>
          <w:color w:val="3E7CB1"/>
          <w:sz w:val="22"/>
          <w:szCs w:val="22"/>
        </w:rPr>
        <w:t xml:space="preserve">2. CONSTRAINT</w:t>
      </w:r>
    </w:p>
    <w:p>
      <w:pPr>
        <w:spacing w:after="60" w:before="40"/>
        <w:ind w:left="360"/>
      </w:pPr>
      <w:r>
        <w:rPr>
          <w:rFonts w:ascii="Arial" w:cs="Arial" w:eastAsia="Arial" w:hAnsi="Arial"/>
          <w:color w:val="333333"/>
          <w:sz w:val="21"/>
          <w:szCs w:val="21"/>
        </w:rPr>
        <w:t xml:space="preserve">Use a concrete example table with sample data. Show the table before and after each normalization step. Explain each normal form in plain language. Target: 400–500 words.</w:t>
      </w:r>
    </w:p>
    <w:p>
      <w:pPr>
        <w:pBdr>
          <w:bottom w:val="single" w:color="3E7CB1" w:sz="2" w:space="1"/>
        </w:pBdr>
        <w:spacing w:after="60" w:before="200"/>
      </w:pPr>
      <w:r>
        <w:rPr>
          <w:rFonts w:ascii="Arial" w:cs="Arial" w:eastAsia="Arial" w:hAnsi="Arial"/>
          <w:b/>
          <w:bCs/>
          <w:color w:val="3E7CB1"/>
          <w:sz w:val="22"/>
          <w:szCs w:val="22"/>
        </w:rPr>
        <w:t xml:space="preserve">3. SOURCES</w:t>
      </w:r>
    </w:p>
    <w:p>
      <w:pPr>
        <w:spacing w:after="60" w:before="40"/>
        <w:ind w:left="360"/>
      </w:pPr>
      <w:r>
        <w:rPr>
          <w:rFonts w:ascii="Arial" w:cs="Arial" w:eastAsia="Arial" w:hAnsi="Arial"/>
          <w:color w:val="333333"/>
          <w:sz w:val="21"/>
          <w:szCs w:val="21"/>
        </w:rPr>
        <w:t xml:space="preserve">Source 1: Oracle Documentation — Database Normalization Overview (definitions and rules)</w:t>
      </w:r>
    </w:p>
    <w:p>
      <w:pPr>
        <w:spacing w:after="60" w:before="40"/>
        <w:ind w:left="360"/>
      </w:pPr>
      <w:r>
        <w:rPr>
          <w:rFonts w:ascii="Arial" w:cs="Arial" w:eastAsia="Arial" w:hAnsi="Arial"/>
          <w:color w:val="333333"/>
          <w:sz w:val="21"/>
          <w:szCs w:val="21"/>
        </w:rPr>
        <w:t xml:space="preserve">Source 2: Database Systems by Connolly &amp; Begg, Ch. 14 (textbook case study examples)</w:t>
      </w:r>
    </w:p>
    <w:p>
      <w:pPr>
        <w:spacing w:after="60" w:before="40"/>
        <w:ind w:left="360"/>
      </w:pPr>
      <w:r>
        <w:rPr>
          <w:rFonts w:ascii="Arial" w:cs="Arial" w:eastAsia="Arial" w:hAnsi="Arial"/>
          <w:color w:val="333333"/>
          <w:sz w:val="21"/>
          <w:szCs w:val="21"/>
        </w:rPr>
        <w:t xml:space="preserve">Source 3: Simple Talk — A Simple Guide to Five Normal Forms (plain-language explanation)</w:t>
      </w:r>
    </w:p>
    <w:p>
      <w:pPr>
        <w:pBdr>
          <w:bottom w:val="single" w:color="3E7CB1" w:sz="2" w:space="1"/>
        </w:pBdr>
        <w:spacing w:after="60" w:before="200"/>
      </w:pPr>
      <w:r>
        <w:rPr>
          <w:rFonts w:ascii="Arial" w:cs="Arial" w:eastAsia="Arial" w:hAnsi="Arial"/>
          <w:b/>
          <w:bCs/>
          <w:color w:val="3E7CB1"/>
          <w:sz w:val="22"/>
          <w:szCs w:val="22"/>
        </w:rPr>
        <w:t xml:space="preserve">4. EXPECTED OUTPUT FORMAT</w:t>
      </w:r>
    </w:p>
    <w:p>
      <w:pPr>
        <w:spacing w:after="60" w:before="40"/>
        <w:ind w:left="360"/>
      </w:pPr>
      <w:r>
        <w:rPr>
          <w:rFonts w:ascii="Arial" w:cs="Arial" w:eastAsia="Arial" w:hAnsi="Arial"/>
          <w:color w:val="333333"/>
          <w:sz w:val="21"/>
          <w:szCs w:val="21"/>
        </w:rPr>
        <w:t xml:space="preserve">A step-by-step walkthrough from an unnormalized table through 1NF, 2NF, and 3NF, with brief explanations of the problem each step solves.</w:t>
      </w:r>
    </w:p>
    <w:p>
      <w:pPr>
        <w:pBdr>
          <w:bottom w:val="single" w:color="3E7CB1" w:sz="2" w:space="1"/>
        </w:pBdr>
        <w:spacing w:after="60" w:before="200"/>
      </w:pPr>
      <w:r>
        <w:rPr>
          <w:rFonts w:ascii="Arial" w:cs="Arial" w:eastAsia="Arial" w:hAnsi="Arial"/>
          <w:b/>
          <w:bCs/>
          <w:color w:val="3E7CB1"/>
          <w:sz w:val="22"/>
          <w:szCs w:val="22"/>
        </w:rPr>
        <w:t xml:space="preserve">5. VERIFY</w:t>
      </w:r>
    </w:p>
    <w:p>
      <w:pPr>
        <w:spacing w:after="60" w:before="40"/>
        <w:ind w:left="360"/>
      </w:pPr>
      <w:r>
        <w:rPr>
          <w:rFonts w:ascii="Arial" w:cs="Arial" w:eastAsia="Arial" w:hAnsi="Arial"/>
          <w:color w:val="333333"/>
          <w:sz w:val="21"/>
          <w:szCs w:val="21"/>
        </w:rPr>
        <w:t xml:space="preserve">Verify each transformation follows the correct dependency rules. Confirm 1NF eliminates repeating groups, 2NF removes partial dependencies, 3NF removes transitive dependencies.</w:t>
      </w:r>
    </w:p>
    <w:p>
      <w:pPr>
        <w:pBdr>
          <w:top w:val="single" w:color="3E7CB1" w:sz="4" w:space="8"/>
        </w:pBdr>
        <w:spacing w:after="120" w:before="360"/>
      </w:pPr>
      <w:r>
        <w:rPr>
          <w:rFonts w:ascii="Arial" w:cs="Arial" w:eastAsia="Arial" w:hAnsi="Arial"/>
          <w:b/>
          <w:bCs/>
          <w:color w:val="1B3A4B"/>
          <w:sz w:val="24"/>
          <w:szCs w:val="24"/>
        </w:rPr>
        <w:t xml:space="preserve">PART B: AI-GENERATED OUTPUT</w:t>
      </w:r>
    </w:p>
    <w:p>
      <w:pPr>
        <w:spacing w:after="60" w:before="40"/>
      </w:pPr>
      <w:r>
        <w:rPr>
          <w:rFonts w:ascii="Arial" w:cs="Arial" w:eastAsia="Arial" w:hAnsi="Arial"/>
          <w:color w:val="333333"/>
          <w:sz w:val="21"/>
          <w:szCs w:val="21"/>
        </w:rPr>
        <w:t xml:space="preserve">Consider a university enrollment system stored in a single unnormalized table. A sample row might look like this:</w:t>
      </w:r>
    </w:p>
    <w:p>
      <w:pPr>
        <w:spacing w:after="60" w:before="40"/>
      </w:pPr>
      <w:r>
        <w:rPr>
          <w:rFonts w:ascii="Arial" w:cs="Arial" w:eastAsia="Arial" w:hAnsi="Arial"/>
          <w:color w:val="333333"/>
          <w:sz w:val="21"/>
          <w:szCs w:val="21"/>
        </w:rPr>
        <w:t xml:space="preserve">Unnormalized Table (UNF):
StudentID: S101 | Name: Ali Hassan | Courses: CHEM101, PHAR201 | Instructors: Dr. Noor, Dr. Salem | Department: Chemistry, Pharmacy | Phone: 0791234567</w:t>
      </w:r>
    </w:p>
    <w:p>
      <w:pPr>
        <w:spacing w:after="60" w:before="40"/>
      </w:pPr>
      <w:r>
        <w:rPr>
          <w:rFonts w:ascii="Arial" w:cs="Arial" w:eastAsia="Arial" w:hAnsi="Arial"/>
          <w:color w:val="333333"/>
          <w:sz w:val="21"/>
          <w:szCs w:val="21"/>
        </w:rPr>
        <w:t xml:space="preserve">The problem is immediately visible: the Courses, Instructors, and Department columns contain multiple values in a single cell (repeating groups). This makes it impossible to query individual courses efficiently, and inserting a new course requires parsing comma-separated strings.</w:t>
      </w:r>
    </w:p>
    <w:p>
      <w:pPr>
        <w:spacing w:after="60" w:before="160"/>
      </w:pPr>
      <w:r>
        <w:rPr>
          <w:rFonts w:ascii="Arial" w:cs="Arial" w:eastAsia="Arial" w:hAnsi="Arial"/>
          <w:color w:val="333333"/>
          <w:sz w:val="21"/>
          <w:szCs w:val="21"/>
        </w:rPr>
        <w:t xml:space="preserve">Step 1 — First Normal Form (1NF): Eliminate repeating groups so that every cell contains only one atomic (indivisible) value. We achieve this by creating one row per student-course combination:</w:t>
      </w:r>
    </w:p>
    <w:p>
      <w:pPr>
        <w:spacing w:after="60" w:before="40"/>
      </w:pPr>
      <w:r>
        <w:rPr>
          <w:rFonts w:ascii="Arial" w:cs="Arial" w:eastAsia="Arial" w:hAnsi="Arial"/>
          <w:color w:val="333333"/>
          <w:sz w:val="21"/>
          <w:szCs w:val="21"/>
        </w:rPr>
        <w:t xml:space="preserve">1NF Table:
S101 | Ali Hassan | CHEM101 | Dr. Noor  | Chemistry | 0791234567
S101 | Ali Hassan | PHAR201 | Dr. Salem | Pharmacy  | 0791234567
S102 | Sara Khalil | PHAR201 | Dr. Salem | Pharmacy  | 0797654321</w:t>
      </w:r>
    </w:p>
    <w:p>
      <w:pPr>
        <w:spacing w:after="60" w:before="40"/>
      </w:pPr>
      <w:r>
        <w:rPr>
          <w:rFonts w:ascii="Arial" w:cs="Arial" w:eastAsia="Arial" w:hAnsi="Arial"/>
          <w:color w:val="333333"/>
          <w:sz w:val="21"/>
          <w:szCs w:val="21"/>
        </w:rPr>
        <w:t xml:space="preserve">The composite primary key is now (StudentID, Course). Every cell holds a single value, and there are no repeating groups. Benefit: We can now query, filter, and index individual courses. Problem remaining: the student’s Name and Phone depend only on StudentID, not on the full composite key — this is a partial dependency.</w:t>
      </w:r>
    </w:p>
    <w:p>
      <w:pPr>
        <w:spacing w:after="60" w:before="160"/>
      </w:pPr>
      <w:r>
        <w:rPr>
          <w:rFonts w:ascii="Arial" w:cs="Arial" w:eastAsia="Arial" w:hAnsi="Arial"/>
          <w:color w:val="333333"/>
          <w:sz w:val="21"/>
          <w:szCs w:val="21"/>
        </w:rPr>
        <w:t xml:space="preserve">Step 2 — Second Normal Form (2NF): Remove partial dependencies. A partial dependency occurs when a non-key column depends on only part of a composite primary key. Name and Phone depend only on StudentID, while Instructor and Department depend on Course. We split into separate tables:</w:t>
      </w:r>
    </w:p>
    <w:p>
      <w:pPr>
        <w:spacing w:after="60" w:before="40"/>
      </w:pPr>
      <w:r>
        <w:rPr>
          <w:rFonts w:ascii="Arial" w:cs="Arial" w:eastAsia="Arial" w:hAnsi="Arial"/>
          <w:color w:val="333333"/>
          <w:sz w:val="21"/>
          <w:szCs w:val="21"/>
        </w:rPr>
        <w:t xml:space="preserve">Students Table (PK: StudentID):
S101 | Ali Hassan   | 0791234567
S102 | Sara Khalil  | 0797654321</w:t>
      </w:r>
    </w:p>
    <w:p>
      <w:pPr>
        <w:spacing w:after="60" w:before="40"/>
      </w:pPr>
      <w:r>
        <w:rPr>
          <w:rFonts w:ascii="Arial" w:cs="Arial" w:eastAsia="Arial" w:hAnsi="Arial"/>
          <w:color w:val="333333"/>
          <w:sz w:val="21"/>
          <w:szCs w:val="21"/>
        </w:rPr>
        <w:t xml:space="preserve">Enrollments Table (PK: StudentID, Course):
S101 | CHEM101
S101 | PHAR201
S102 | PHAR201</w:t>
      </w:r>
    </w:p>
    <w:p>
      <w:pPr>
        <w:spacing w:after="60" w:before="40"/>
      </w:pPr>
      <w:r>
        <w:rPr>
          <w:rFonts w:ascii="Arial" w:cs="Arial" w:eastAsia="Arial" w:hAnsi="Arial"/>
          <w:color w:val="333333"/>
          <w:sz w:val="21"/>
          <w:szCs w:val="21"/>
        </w:rPr>
        <w:t xml:space="preserve">Courses Table (PK: Course):
CHEM101 | Dr. Noor  | Chemistry
PHAR201 | Dr. Salem | Pharmacy</w:t>
      </w:r>
    </w:p>
    <w:p>
      <w:pPr>
        <w:spacing w:after="60" w:before="40"/>
      </w:pPr>
      <w:r>
        <w:rPr>
          <w:rFonts w:ascii="Arial" w:cs="Arial" w:eastAsia="Arial" w:hAnsi="Arial"/>
          <w:color w:val="333333"/>
          <w:sz w:val="21"/>
          <w:szCs w:val="21"/>
        </w:rPr>
        <w:t xml:space="preserve">Benefit: Student information is stored once (no redundancy). If Ali changes his phone number, we update one row instead of every enrollment record. Problem remaining: In the Courses table, Department depends on Instructor (assuming each instructor belongs to one department), not directly on Course — this is a transitive dependency.</w:t>
      </w:r>
    </w:p>
    <w:p>
      <w:pPr>
        <w:spacing w:after="60" w:before="160"/>
      </w:pPr>
      <w:r>
        <w:rPr>
          <w:rFonts w:ascii="Arial" w:cs="Arial" w:eastAsia="Arial" w:hAnsi="Arial"/>
          <w:color w:val="333333"/>
          <w:sz w:val="21"/>
          <w:szCs w:val="21"/>
        </w:rPr>
        <w:t xml:space="preserve">Step 3 — Third Normal Form (3NF): Remove transitive dependencies. A transitive dependency means a non-key column depends on another non-key column. Since Department depends on Instructor rather than directly on Course, we split again:</w:t>
      </w:r>
    </w:p>
    <w:p>
      <w:pPr>
        <w:spacing w:after="60" w:before="40"/>
      </w:pPr>
      <w:r>
        <w:rPr>
          <w:rFonts w:ascii="Arial" w:cs="Arial" w:eastAsia="Arial" w:hAnsi="Arial"/>
          <w:color w:val="333333"/>
          <w:sz w:val="21"/>
          <w:szCs w:val="21"/>
        </w:rPr>
        <w:t xml:space="preserve">Courses Table (PK: Course):
CHEM101 | Dr. Noor
PHAR201 | Dr. Salem</w:t>
      </w:r>
    </w:p>
    <w:p>
      <w:pPr>
        <w:spacing w:after="60" w:before="40"/>
      </w:pPr>
      <w:r>
        <w:rPr>
          <w:rFonts w:ascii="Arial" w:cs="Arial" w:eastAsia="Arial" w:hAnsi="Arial"/>
          <w:color w:val="333333"/>
          <w:sz w:val="21"/>
          <w:szCs w:val="21"/>
        </w:rPr>
        <w:t xml:space="preserve">Instructors Table (PK: Instructor):
Dr. Noor  | Chemistry
Dr. Salem | Pharmacy</w:t>
      </w:r>
    </w:p>
    <w:p>
      <w:pPr>
        <w:spacing w:after="60" w:before="40"/>
      </w:pPr>
      <w:r>
        <w:rPr>
          <w:rFonts w:ascii="Arial" w:cs="Arial" w:eastAsia="Arial" w:hAnsi="Arial"/>
          <w:color w:val="333333"/>
          <w:sz w:val="21"/>
          <w:szCs w:val="21"/>
        </w:rPr>
        <w:t xml:space="preserve">Benefit: Department information is stored only in the Instructors table. If Dr. Salem transfers to a new department, the change is made in one place. There is no risk of update anomalies where one table says “Pharmacy” and another says “Clinical Pharmacy” for the same instructor.</w:t>
      </w:r>
    </w:p>
    <w:p>
      <w:pPr>
        <w:spacing w:after="60" w:before="40"/>
      </w:pPr>
      <w:r>
        <w:rPr>
          <w:rFonts w:ascii="Arial" w:cs="Arial" w:eastAsia="Arial" w:hAnsi="Arial"/>
          <w:color w:val="333333"/>
          <w:sz w:val="21"/>
          <w:szCs w:val="21"/>
        </w:rPr>
        <w:t xml:space="preserve">Summary: Starting from a single unnormalized table with redundancy and multi-valued cells, normalization produced four clean tables: Students, Enrollments, Courses, and Instructors. Each step solved a specific problem — 1NF eliminated repeating groups, 2NF removed partial dependencies, and 3NF removed transitive dependencies — resulting in a database design that minimizes redundancy, prevents update anomalies, and supports efficient querying.</w:t>
      </w:r>
    </w:p>
    <w:p>
      <w:pPr>
        <w:pBdr>
          <w:top w:val="single" w:color="28A745" w:sz="4" w:space="8"/>
        </w:pBdr>
        <w:spacing w:after="120" w:before="360"/>
      </w:pPr>
      <w:r>
        <w:rPr>
          <w:rFonts w:ascii="Segoe UI Emoji" w:cs="Segoe UI Emoji" w:eastAsia="Segoe UI Emoji" w:hAnsi="Segoe UI Emoji"/>
          <w:sz w:val="22"/>
          <w:szCs w:val="22"/>
        </w:rPr>
        <w:t xml:space="preserve">✅ </w:t>
      </w:r>
      <w:r>
        <w:rPr>
          <w:rFonts w:ascii="Arial" w:cs="Arial" w:eastAsia="Arial" w:hAnsi="Arial"/>
          <w:b/>
          <w:bCs/>
          <w:color w:val="28A745"/>
          <w:sz w:val="24"/>
          <w:szCs w:val="24"/>
        </w:rPr>
        <w:t xml:space="preserve">PART C: VERIFICATION AGAINST SOURCES</w:t>
      </w:r>
    </w:p>
    <w:p>
      <w:pPr>
        <w:spacing w:after="60" w:before="40"/>
      </w:pPr>
      <w:r>
        <w:rPr>
          <w:rFonts w:ascii="Arial" w:cs="Arial" w:eastAsia="Arial" w:hAnsi="Arial"/>
          <w:color w:val="333333"/>
          <w:sz w:val="21"/>
          <w:szCs w:val="21"/>
        </w:rPr>
        <w:t xml:space="preserve">Verification: 1NF correctly eliminates repeating groups (confirmed against Oracle Documentation definition). 2NF correctly identifies and removes partial dependencies — Name and Phone depend only on StudentID, not the full key (StudentID, Course), consistent with Connolly &amp; Begg Ch. 14. 3NF correctly identifies the transitive dependency: Course → Instructor → Department, and resolves it by creating a separate Instructors table. All definitions match the Simple Talk guide. The final schema has no remaining partial or transitive dependencies.</w:t>
      </w:r>
    </w:p>
    <w:p>
      <w:r>
        <w:br w:type="page"/>
      </w:r>
    </w:p>
    <w:p>
      <w:pPr>
        <w:spacing w:after="60" w:before="120"/>
      </w:pPr>
      <w:r>
        <w:rPr>
          <w:rFonts w:ascii="Arial" w:cs="Arial" w:eastAsia="Arial" w:hAnsi="Arial"/>
          <w:b/>
          <w:bCs/>
          <w:color w:val="FFFFFF"/>
          <w:sz w:val="22"/>
          <w:szCs w:val="22"/>
          <w:shd w:fill="C75C5C" w:val="clear"/>
        </w:rPr>
        <w:t xml:space="preserve">  ENGLISH LITERATURE  </w:t>
      </w:r>
      <w:r>
        <w:rPr>
          <w:rFonts w:ascii="Arial" w:cs="Arial" w:eastAsia="Arial" w:hAnsi="Arial"/>
          <w:b/>
          <w:bCs/>
          <w:color w:val="1B3A4B"/>
          <w:sz w:val="28"/>
          <w:szCs w:val="28"/>
        </w:rPr>
        <w:t xml:space="preserve">   The Symbol of the Green Light in The Great Gatsby</w:t>
      </w:r>
    </w:p>
    <w:p>
      <w:pPr>
        <w:spacing w:after="160" w:before="40"/>
      </w:pPr>
      <w:r>
        <w:rPr>
          <w:rFonts w:ascii="Arial" w:cs="Arial" w:eastAsia="Arial" w:hAnsi="Arial"/>
          <w:b/>
          <w:bCs/>
          <w:i/>
          <w:iCs/>
          <w:color w:val="555555"/>
          <w:sz w:val="20"/>
          <w:szCs w:val="20"/>
        </w:rPr>
        <w:t xml:space="preserve">Chosen Article: </w:t>
      </w:r>
      <w:r>
        <w:rPr>
          <w:rFonts w:ascii="Arial" w:cs="Arial" w:eastAsia="Arial" w:hAnsi="Arial"/>
          <w:i/>
          <w:iCs/>
          <w:color w:val="555555"/>
          <w:sz w:val="20"/>
          <w:szCs w:val="20"/>
        </w:rPr>
        <w:t xml:space="preserve">SparkNotes — The Great Gatsby: Symbols (open-access literary analysis)</w:t>
      </w:r>
    </w:p>
    <w:p>
      <w:pPr>
        <w:pBdr>
          <w:bottom w:val="single" w:color="C75C5C" w:sz="4" w:space="1"/>
        </w:pBdr>
        <w:spacing w:after="120" w:before="0"/>
      </w:pPr>
    </w:p>
    <w:p>
      <w:pPr>
        <w:spacing w:after="120" w:before="160"/>
      </w:pPr>
      <w:r>
        <w:rPr>
          <w:rFonts w:ascii="Arial" w:cs="Arial" w:eastAsia="Arial" w:hAnsi="Arial"/>
          <w:b/>
          <w:bCs/>
          <w:color w:val="1B3A4B"/>
          <w:sz w:val="24"/>
          <w:szCs w:val="24"/>
        </w:rPr>
        <w:t xml:space="preserve">PART A: SOURCE PACK TEMPLATE</w:t>
      </w:r>
    </w:p>
    <w:p>
      <w:pPr>
        <w:pBdr>
          <w:bottom w:val="single" w:color="C75C5C" w:sz="2" w:space="1"/>
        </w:pBdr>
        <w:spacing w:after="60" w:before="200"/>
      </w:pPr>
      <w:r>
        <w:rPr>
          <w:rFonts w:ascii="Arial" w:cs="Arial" w:eastAsia="Arial" w:hAnsi="Arial"/>
          <w:b/>
          <w:bCs/>
          <w:color w:val="C75C5C"/>
          <w:sz w:val="22"/>
          <w:szCs w:val="22"/>
        </w:rPr>
        <w:t xml:space="preserve">1. TASK</w:t>
      </w:r>
    </w:p>
    <w:p>
      <w:pPr>
        <w:spacing w:after="60" w:before="40"/>
        <w:ind w:left="360"/>
      </w:pPr>
      <w:r>
        <w:rPr>
          <w:rFonts w:ascii="Arial" w:cs="Arial" w:eastAsia="Arial" w:hAnsi="Arial"/>
          <w:color w:val="333333"/>
          <w:sz w:val="21"/>
          <w:szCs w:val="21"/>
        </w:rPr>
        <w:t xml:space="preserve">Analyze the symbolism of the green light in F. Scott Fitzgerald’s The Great Gatsby, explaining what it represents at different points in the novel and how it connects to the broader theme of the American Dream.</w:t>
      </w:r>
    </w:p>
    <w:p>
      <w:pPr>
        <w:pBdr>
          <w:bottom w:val="single" w:color="C75C5C" w:sz="2" w:space="1"/>
        </w:pBdr>
        <w:spacing w:after="60" w:before="200"/>
      </w:pPr>
      <w:r>
        <w:rPr>
          <w:rFonts w:ascii="Arial" w:cs="Arial" w:eastAsia="Arial" w:hAnsi="Arial"/>
          <w:b/>
          <w:bCs/>
          <w:color w:val="C75C5C"/>
          <w:sz w:val="22"/>
          <w:szCs w:val="22"/>
        </w:rPr>
        <w:t xml:space="preserve">2. CONSTRAINT</w:t>
      </w:r>
    </w:p>
    <w:p>
      <w:pPr>
        <w:spacing w:after="60" w:before="40"/>
        <w:ind w:left="360"/>
      </w:pPr>
      <w:r>
        <w:rPr>
          <w:rFonts w:ascii="Arial" w:cs="Arial" w:eastAsia="Arial" w:hAnsi="Arial"/>
          <w:color w:val="333333"/>
          <w:sz w:val="21"/>
          <w:szCs w:val="21"/>
        </w:rPr>
        <w:t xml:space="preserve">Reference at least 3 specific scenes involving the green light. Connect to Gatsby’s character development. Discuss how meaning shifts from hope to disillusionment. Target: 400–500 words.</w:t>
      </w:r>
    </w:p>
    <w:p>
      <w:pPr>
        <w:pBdr>
          <w:bottom w:val="single" w:color="C75C5C" w:sz="2" w:space="1"/>
        </w:pBdr>
        <w:spacing w:after="60" w:before="200"/>
      </w:pPr>
      <w:r>
        <w:rPr>
          <w:rFonts w:ascii="Arial" w:cs="Arial" w:eastAsia="Arial" w:hAnsi="Arial"/>
          <w:b/>
          <w:bCs/>
          <w:color w:val="C75C5C"/>
          <w:sz w:val="22"/>
          <w:szCs w:val="22"/>
        </w:rPr>
        <w:t xml:space="preserve">3. SOURCES</w:t>
      </w:r>
    </w:p>
    <w:p>
      <w:pPr>
        <w:spacing w:after="60" w:before="40"/>
        <w:ind w:left="360"/>
      </w:pPr>
      <w:r>
        <w:rPr>
          <w:rFonts w:ascii="Arial" w:cs="Arial" w:eastAsia="Arial" w:hAnsi="Arial"/>
          <w:color w:val="333333"/>
          <w:sz w:val="21"/>
          <w:szCs w:val="21"/>
        </w:rPr>
        <w:t xml:space="preserve">Source 1: SparkNotes — The Great Gatsby Symbols: The Green Light</w:t>
      </w:r>
    </w:p>
    <w:p>
      <w:pPr>
        <w:spacing w:after="60" w:before="40"/>
        <w:ind w:left="360"/>
      </w:pPr>
      <w:r>
        <w:rPr>
          <w:rFonts w:ascii="Arial" w:cs="Arial" w:eastAsia="Arial" w:hAnsi="Arial"/>
          <w:color w:val="333333"/>
          <w:sz w:val="21"/>
          <w:szCs w:val="21"/>
        </w:rPr>
        <w:t xml:space="preserve">Source 2: The Great Gatsby by F. Scott Fitzgerald, Chapters 1, 5, and 9 (primary text)</w:t>
      </w:r>
    </w:p>
    <w:p>
      <w:pPr>
        <w:spacing w:after="60" w:before="40"/>
        <w:ind w:left="360"/>
      </w:pPr>
      <w:r>
        <w:rPr>
          <w:rFonts w:ascii="Arial" w:cs="Arial" w:eastAsia="Arial" w:hAnsi="Arial"/>
          <w:color w:val="333333"/>
          <w:sz w:val="21"/>
          <w:szCs w:val="21"/>
        </w:rPr>
        <w:t xml:space="preserve">Source 3: CliffsNotes — The Great Gatsby Theme Analysis: The American Dream</w:t>
      </w:r>
    </w:p>
    <w:p>
      <w:pPr>
        <w:pBdr>
          <w:bottom w:val="single" w:color="C75C5C" w:sz="2" w:space="1"/>
        </w:pBdr>
        <w:spacing w:after="60" w:before="200"/>
      </w:pPr>
      <w:r>
        <w:rPr>
          <w:rFonts w:ascii="Arial" w:cs="Arial" w:eastAsia="Arial" w:hAnsi="Arial"/>
          <w:b/>
          <w:bCs/>
          <w:color w:val="C75C5C"/>
          <w:sz w:val="22"/>
          <w:szCs w:val="22"/>
        </w:rPr>
        <w:t xml:space="preserve">4. EXPECTED OUTPUT FORMAT</w:t>
      </w:r>
    </w:p>
    <w:p>
      <w:pPr>
        <w:spacing w:after="60" w:before="40"/>
        <w:ind w:left="360"/>
      </w:pPr>
      <w:r>
        <w:rPr>
          <w:rFonts w:ascii="Arial" w:cs="Arial" w:eastAsia="Arial" w:hAnsi="Arial"/>
          <w:color w:val="333333"/>
          <w:sz w:val="21"/>
          <w:szCs w:val="21"/>
        </w:rPr>
        <w:t xml:space="preserve">A literary analysis in three parts: (1) the green light as hope in Chapter 1; (2) the shift when Gatsby meets Daisy in Chapter 5; (3) the final reflection in Chapter 9 on the unattainable American Dream.</w:t>
      </w:r>
    </w:p>
    <w:p>
      <w:pPr>
        <w:pBdr>
          <w:bottom w:val="single" w:color="C75C5C" w:sz="2" w:space="1"/>
        </w:pBdr>
        <w:spacing w:after="60" w:before="200"/>
      </w:pPr>
      <w:r>
        <w:rPr>
          <w:rFonts w:ascii="Arial" w:cs="Arial" w:eastAsia="Arial" w:hAnsi="Arial"/>
          <w:b/>
          <w:bCs/>
          <w:color w:val="C75C5C"/>
          <w:sz w:val="22"/>
          <w:szCs w:val="22"/>
        </w:rPr>
        <w:t xml:space="preserve">5. VERIFY</w:t>
      </w:r>
    </w:p>
    <w:p>
      <w:pPr>
        <w:spacing w:after="60" w:before="40"/>
        <w:ind w:left="360"/>
      </w:pPr>
      <w:r>
        <w:rPr>
          <w:rFonts w:ascii="Arial" w:cs="Arial" w:eastAsia="Arial" w:hAnsi="Arial"/>
          <w:color w:val="333333"/>
          <w:sz w:val="21"/>
          <w:szCs w:val="21"/>
        </w:rPr>
        <w:t xml:space="preserve">Verify all quotes and chapter references against the actual text. Cross-reference interpretations with SparkNotes and CliffsNotes.</w:t>
      </w:r>
    </w:p>
    <w:p>
      <w:pPr>
        <w:pBdr>
          <w:top w:val="single" w:color="C75C5C" w:sz="4" w:space="8"/>
        </w:pBdr>
        <w:spacing w:after="120" w:before="360"/>
      </w:pPr>
      <w:r>
        <w:rPr>
          <w:rFonts w:ascii="Arial" w:cs="Arial" w:eastAsia="Arial" w:hAnsi="Arial"/>
          <w:b/>
          <w:bCs/>
          <w:color w:val="1B3A4B"/>
          <w:sz w:val="24"/>
          <w:szCs w:val="24"/>
        </w:rPr>
        <w:t xml:space="preserve">PART B: AI-GENERATED OUTPUT</w:t>
      </w:r>
    </w:p>
    <w:p>
      <w:pPr>
        <w:spacing w:after="60" w:before="40"/>
      </w:pPr>
      <w:r>
        <w:rPr>
          <w:rFonts w:ascii="Arial" w:cs="Arial" w:eastAsia="Arial" w:hAnsi="Arial"/>
          <w:color w:val="333333"/>
          <w:sz w:val="21"/>
          <w:szCs w:val="21"/>
        </w:rPr>
        <w:t xml:space="preserve">In F. Scott Fitzgerald’s The Great Gatsby (1925), the green light at the end of Daisy Buchanan’s dock is the novel’s most enduring symbol. Over the course of the story, it transforms from a beacon of personal longing into a broader metaphor for the elusive American Dream, charting Gatsby’s arc from hopeful idealist to tragic figure.</w:t>
      </w:r>
    </w:p>
    <w:p>
      <w:pPr>
        <w:spacing w:after="60" w:before="180"/>
      </w:pPr>
      <w:r>
        <w:rPr>
          <w:rFonts w:ascii="Arial" w:cs="Arial" w:eastAsia="Arial" w:hAnsi="Arial"/>
          <w:b/>
          <w:bCs/>
          <w:color w:val="C75C5C"/>
          <w:sz w:val="22"/>
          <w:szCs w:val="22"/>
        </w:rPr>
        <w:t xml:space="preserve">Part 1 — The Green Light as Hope (Chapter 1):</w:t>
      </w:r>
    </w:p>
    <w:p>
      <w:pPr>
        <w:spacing w:after="60" w:before="40"/>
      </w:pPr>
      <w:r>
        <w:rPr>
          <w:rFonts w:ascii="Arial" w:cs="Arial" w:eastAsia="Arial" w:hAnsi="Arial"/>
          <w:color w:val="333333"/>
          <w:sz w:val="21"/>
          <w:szCs w:val="21"/>
        </w:rPr>
        <w:t xml:space="preserve">The green light first appears in the closing scene of Chapter 1, when Nick Carraway observes his mysterious neighbor for the first time. Nick sees Gatsby standing alone at the edge of his lawn in the darkness, stretching his arms toward a single green light across the bay. Nick describes the moment: Gatsby “stretched out his arms toward the dark water in a curious way,” trembling as he reached for the light. At this point, the green light symbolizes pure, unqualified hope. It represents everything Gatsby has been working toward for five years: the dream of reuniting with Daisy, the woman he loved and lost before the war. The color green reinforces ideas of freshness, promise, and vitality. The physical distance across the water mirrors the emotional and social distance Gatsby must cross — he is a self-made man of new money reaching toward the old-money world of East Egg.</w:t>
      </w:r>
    </w:p>
    <w:p>
      <w:pPr>
        <w:spacing w:after="60" w:before="180"/>
      </w:pPr>
      <w:r>
        <w:rPr>
          <w:rFonts w:ascii="Arial" w:cs="Arial" w:eastAsia="Arial" w:hAnsi="Arial"/>
          <w:b/>
          <w:bCs/>
          <w:color w:val="C75C5C"/>
          <w:sz w:val="22"/>
          <w:szCs w:val="22"/>
        </w:rPr>
        <w:t xml:space="preserve">Part 2 — The Green Light Diminished (Chapter 5):</w:t>
      </w:r>
    </w:p>
    <w:p>
      <w:pPr>
        <w:spacing w:after="60" w:before="40"/>
      </w:pPr>
      <w:r>
        <w:rPr>
          <w:rFonts w:ascii="Arial" w:cs="Arial" w:eastAsia="Arial" w:hAnsi="Arial"/>
          <w:color w:val="333333"/>
          <w:sz w:val="21"/>
          <w:szCs w:val="21"/>
        </w:rPr>
        <w:t xml:space="preserve">When Gatsby and Daisy are finally reunited in Chapter 5, the symbolic power of the green light begins to fade. During their afternoon together, Gatsby points out the green light to Daisy, and Nick observes that the colossal significance of that light has now “vanished forever.” The actual Daisy is standing beside him, and the distance that once gave the symbol its enchantment has collapsed. This is a pivotal moment in Gatsby’s character development: the dream was more powerful than the reality. Fitzgerald suggests that longing itself — the act of reaching — was what sustained Gatsby, not the object of his desire. Once he holds what he wanted, the green light becomes just a light on a dock. This scene signals the beginning of Gatsby’s disillusionment, even though he does not yet recognize it.</w:t>
      </w:r>
    </w:p>
    <w:p>
      <w:pPr>
        <w:spacing w:after="60" w:before="180"/>
      </w:pPr>
      <w:r>
        <w:rPr>
          <w:rFonts w:ascii="Arial" w:cs="Arial" w:eastAsia="Arial" w:hAnsi="Arial"/>
          <w:b/>
          <w:bCs/>
          <w:color w:val="C75C5C"/>
          <w:sz w:val="22"/>
          <w:szCs w:val="22"/>
        </w:rPr>
        <w:t xml:space="preserve">Part 3 — The Green Light as the Unattainable Dream (Chapter 9):</w:t>
      </w:r>
    </w:p>
    <w:p>
      <w:pPr>
        <w:spacing w:after="60" w:before="40"/>
      </w:pPr>
      <w:r>
        <w:rPr>
          <w:rFonts w:ascii="Arial" w:cs="Arial" w:eastAsia="Arial" w:hAnsi="Arial"/>
          <w:color w:val="333333"/>
          <w:sz w:val="21"/>
          <w:szCs w:val="21"/>
        </w:rPr>
        <w:t xml:space="preserve">In the novel’s famous final passage, Nick reflects on the green light one last time and expands its meaning beyond Gatsby’s personal story. He writes: “Gatsby believed in the green light, the orgastic future that year by year recedes before us. It eluded us then, but that’s no matter — tomorrow we will run faster, stretch out our arms farther.” Here, the green light becomes universal. It no longer represents only Gatsby’s love for Daisy; it represents the American Dream itself — the belief that through effort and aspiration, anyone can achieve a better future. But Fitzgerald’s final image is one of futility. Nick compares humanity to “boats against the current, borne back ceaselessly into the past.” No matter how far we reach, the dream recedes. The green light, which began as a symbol of personal hope, ends as a symbol of collective illusion.</w:t>
      </w:r>
    </w:p>
    <w:p>
      <w:pPr>
        <w:spacing w:after="60" w:before="180"/>
      </w:pPr>
      <w:r>
        <w:rPr>
          <w:rFonts w:ascii="Arial" w:cs="Arial" w:eastAsia="Arial" w:hAnsi="Arial"/>
          <w:b/>
          <w:bCs/>
          <w:color w:val="C75C5C"/>
          <w:sz w:val="22"/>
          <w:szCs w:val="22"/>
        </w:rPr>
        <w:t xml:space="preserve">Conclusion:</w:t>
      </w:r>
    </w:p>
    <w:p>
      <w:pPr>
        <w:spacing w:after="60" w:before="40"/>
      </w:pPr>
      <w:r>
        <w:rPr>
          <w:rFonts w:ascii="Arial" w:cs="Arial" w:eastAsia="Arial" w:hAnsi="Arial"/>
          <w:color w:val="333333"/>
          <w:sz w:val="21"/>
          <w:szCs w:val="21"/>
        </w:rPr>
        <w:t xml:space="preserve">The green light’s meaning evolves alongside Gatsby’s journey: from radiant hope, to diminished enchantment, to tragic impossibility. Fitzgerald uses this single image to critique the American Dream’s central promise. Gatsby’s tragedy is not that he dreamed, but that the dream was always larger than any reality could satisfy. The green light endures as one of American literature’s most powerful symbols precisely because its meaning is never fixed — it shifts with each reading, just as the dream it represents shifts with each generation.</w:t>
      </w:r>
    </w:p>
    <w:p>
      <w:pPr>
        <w:pBdr>
          <w:top w:val="single" w:color="28A745" w:sz="4" w:space="8"/>
        </w:pBdr>
        <w:spacing w:after="120" w:before="360"/>
      </w:pPr>
      <w:r>
        <w:rPr>
          <w:rFonts w:ascii="Segoe UI Emoji" w:cs="Segoe UI Emoji" w:eastAsia="Segoe UI Emoji" w:hAnsi="Segoe UI Emoji"/>
          <w:sz w:val="22"/>
          <w:szCs w:val="22"/>
        </w:rPr>
        <w:t xml:space="preserve">✅ </w:t>
      </w:r>
      <w:r>
        <w:rPr>
          <w:rFonts w:ascii="Arial" w:cs="Arial" w:eastAsia="Arial" w:hAnsi="Arial"/>
          <w:b/>
          <w:bCs/>
          <w:color w:val="28A745"/>
          <w:sz w:val="24"/>
          <w:szCs w:val="24"/>
        </w:rPr>
        <w:t xml:space="preserve">PART C: VERIFICATION AGAINST SOURCES</w:t>
      </w:r>
    </w:p>
    <w:p>
      <w:pPr>
        <w:spacing w:after="60" w:before="40"/>
      </w:pPr>
      <w:r>
        <w:rPr>
          <w:rFonts w:ascii="Arial" w:cs="Arial" w:eastAsia="Arial" w:hAnsi="Arial"/>
          <w:color w:val="333333"/>
          <w:sz w:val="21"/>
          <w:szCs w:val="21"/>
        </w:rPr>
        <w:t xml:space="preserve">Verification: The Chapter 1 scene (Gatsby reaching across the bay) is correctly located and accurately described. The Chapter 5 observation that the green light’s significance “vanished forever” once Daisy was present matches Nick’s narration in the novel. The Chapter 9 closing passage (“boats against the current”) is one of the most widely cited lines in American literature and is correctly quoted in substance. The interpretation — the shift from personal hope to universal critique of the American Dream — is consistent with both SparkNotes and CliffsNotes analyses, as well as mainstream Fitzgerald scholarship.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A7D" w:sz="4" w:space="1"/>
      </w:pBdr>
    </w:pPr>
    <w:r>
      <w:rPr>
        <w:rFonts w:ascii="Arial" w:cs="Arial" w:eastAsia="Arial" w:hAnsi="Arial"/>
        <w:i/>
        <w:iCs/>
        <w:color w:val="999999"/>
        <w:sz w:val="18"/>
        <w:szCs w:val="18"/>
      </w:rPr>
      <w:t xml:space="preserve">Exercise 3: Build Your Source Pack — All Majors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2026-04-14T11:19:09.968Z</dcterms:created>
  <dcterms:modified xsi:type="dcterms:W3CDTF">2026-04-14T11:19:09.968Z</dcterms:modified>
</cp:coreProperties>
</file>

<file path=docProps/custom.xml><?xml version="1.0" encoding="utf-8"?>
<Properties xmlns="http://schemas.openxmlformats.org/officeDocument/2006/custom-properties" xmlns:vt="http://schemas.openxmlformats.org/officeDocument/2006/docPropsVTypes"/>
</file>