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C026" w14:textId="77777777" w:rsidR="00D24415" w:rsidRDefault="00D24415">
      <w:pPr>
        <w:spacing w:before="3000"/>
      </w:pPr>
    </w:p>
    <w:p w14:paraId="4831C027" w14:textId="2253FBD8" w:rsidR="00D24415" w:rsidRDefault="00DB126A">
      <w:pPr>
        <w:spacing w:after="200"/>
        <w:jc w:val="center"/>
      </w:pPr>
      <w:r>
        <w:rPr>
          <w:b/>
          <w:bCs/>
          <w:color w:val="1B3A4B"/>
          <w:sz w:val="52"/>
          <w:szCs w:val="52"/>
        </w:rPr>
        <w:t>Exercise</w:t>
      </w:r>
      <w:r>
        <w:rPr>
          <w:b/>
          <w:bCs/>
          <w:color w:val="1B3A4B"/>
          <w:sz w:val="52"/>
          <w:szCs w:val="52"/>
        </w:rPr>
        <w:t>: Build Your Source Pack</w:t>
      </w:r>
    </w:p>
    <w:p w14:paraId="4831C028" w14:textId="77777777" w:rsidR="00D24415" w:rsidRDefault="00DB126A">
      <w:pPr>
        <w:spacing w:after="100"/>
        <w:jc w:val="center"/>
      </w:pPr>
      <w:r>
        <w:rPr>
          <w:color w:val="1A8A7D"/>
          <w:sz w:val="28"/>
          <w:szCs w:val="28"/>
        </w:rPr>
        <w:t>Completed Source Packs for All Five Majors</w:t>
      </w:r>
    </w:p>
    <w:p w14:paraId="4831C029" w14:textId="77777777" w:rsidR="00D24415" w:rsidRDefault="00DB126A">
      <w:pPr>
        <w:spacing w:after="200"/>
        <w:jc w:val="center"/>
      </w:pPr>
      <w:r>
        <w:rPr>
          <w:i/>
          <w:iCs/>
          <w:color w:val="777777"/>
        </w:rPr>
        <w:t>Each Source Pack follows the 5-part template: Task, Constraint, Sources, Output, Verify</w:t>
      </w:r>
    </w:p>
    <w:p w14:paraId="4831C02A" w14:textId="77777777" w:rsidR="00D24415" w:rsidRDefault="00D24415">
      <w:pPr>
        <w:pBdr>
          <w:bottom w:val="single" w:sz="6" w:space="1" w:color="1A8A7D"/>
        </w:pBdr>
        <w:spacing w:after="600"/>
        <w:jc w:val="center"/>
      </w:pPr>
    </w:p>
    <w:p w14:paraId="4831C02B" w14:textId="77777777" w:rsidR="00D24415" w:rsidRDefault="00DB126A">
      <w:pPr>
        <w:spacing w:before="400" w:after="120"/>
        <w:jc w:val="center"/>
      </w:pPr>
      <w:r>
        <w:rPr>
          <w:b/>
          <w:bCs/>
          <w:color w:val="1B3A4B"/>
          <w:sz w:val="24"/>
          <w:szCs w:val="24"/>
        </w:rPr>
        <w:t>Majors Covered:</w:t>
      </w:r>
    </w:p>
    <w:p w14:paraId="4831C02C" w14:textId="77777777" w:rsidR="00D24415" w:rsidRDefault="00DB126A">
      <w:pPr>
        <w:spacing w:before="60" w:after="60"/>
        <w:jc w:val="center"/>
      </w:pPr>
      <w:r>
        <w:rPr>
          <w:color w:val="444444"/>
        </w:rPr>
        <w:t>Chemistry — Fischer Esterification Mechanism</w:t>
      </w:r>
    </w:p>
    <w:p w14:paraId="4831C02D" w14:textId="77777777" w:rsidR="00D24415" w:rsidRDefault="00DB126A">
      <w:pPr>
        <w:spacing w:before="60" w:after="60"/>
        <w:jc w:val="center"/>
      </w:pPr>
      <w:r>
        <w:rPr>
          <w:color w:val="444444"/>
        </w:rPr>
        <w:t>Pharmacy — Warfarin Drug Interactions</w:t>
      </w:r>
    </w:p>
    <w:p w14:paraId="4831C02E" w14:textId="77777777" w:rsidR="00D24415" w:rsidRDefault="00DB126A">
      <w:pPr>
        <w:spacing w:before="60" w:after="60"/>
        <w:jc w:val="center"/>
      </w:pPr>
      <w:r>
        <w:rPr>
          <w:color w:val="444444"/>
        </w:rPr>
        <w:t>Industrial Pharmacy — Wet Granulation vs. Direct Compression</w:t>
      </w:r>
    </w:p>
    <w:p w14:paraId="4831C02F" w14:textId="77777777" w:rsidR="00D24415" w:rsidRDefault="00DB126A">
      <w:pPr>
        <w:spacing w:before="60" w:after="60"/>
        <w:jc w:val="center"/>
      </w:pPr>
      <w:r>
        <w:rPr>
          <w:color w:val="444444"/>
        </w:rPr>
        <w:t>Information Management — Database Normalization (1NF, 2NF, 3NF)</w:t>
      </w:r>
    </w:p>
    <w:p w14:paraId="4831C030" w14:textId="77777777" w:rsidR="00D24415" w:rsidRDefault="00DB126A">
      <w:pPr>
        <w:spacing w:before="60" w:after="60"/>
        <w:jc w:val="center"/>
      </w:pPr>
      <w:r>
        <w:rPr>
          <w:color w:val="444444"/>
        </w:rPr>
        <w:t>English Literature — The Green Light in The Great Gatsby</w:t>
      </w:r>
    </w:p>
    <w:p w14:paraId="4831C031" w14:textId="77777777" w:rsidR="00D24415" w:rsidRDefault="00DB126A">
      <w:r>
        <w:br w:type="page"/>
      </w:r>
    </w:p>
    <w:p w14:paraId="4831C032" w14:textId="77777777" w:rsidR="00D24415" w:rsidRDefault="00DB126A">
      <w:pPr>
        <w:spacing w:before="120" w:after="60"/>
      </w:pPr>
      <w:r>
        <w:rPr>
          <w:b/>
          <w:bCs/>
          <w:color w:val="FFFFFF"/>
          <w:shd w:val="clear" w:color="auto" w:fill="1A8A7D"/>
        </w:rPr>
        <w:lastRenderedPageBreak/>
        <w:t xml:space="preserve">  CHEMISTRY  </w:t>
      </w:r>
      <w:r>
        <w:rPr>
          <w:b/>
          <w:bCs/>
          <w:color w:val="1B3A4B"/>
          <w:sz w:val="26"/>
          <w:szCs w:val="26"/>
        </w:rPr>
        <w:t xml:space="preserve">   Mechanism of Esterification (Fischer Esterification)</w:t>
      </w:r>
    </w:p>
    <w:p w14:paraId="4831C033" w14:textId="77777777" w:rsidR="00D24415" w:rsidRDefault="00DB126A">
      <w:pPr>
        <w:spacing w:before="60" w:after="200"/>
      </w:pPr>
      <w:r>
        <w:rPr>
          <w:b/>
          <w:bCs/>
          <w:i/>
          <w:iCs/>
          <w:color w:val="555555"/>
          <w:sz w:val="20"/>
          <w:szCs w:val="20"/>
        </w:rPr>
        <w:t xml:space="preserve">Article: </w:t>
      </w:r>
      <w:r>
        <w:rPr>
          <w:i/>
          <w:iCs/>
          <w:color w:val="555555"/>
          <w:sz w:val="20"/>
          <w:szCs w:val="20"/>
        </w:rPr>
        <w:t>Fischer Esterification - Chemistry LibreTexts (open-access textbook chapter)</w:t>
      </w:r>
    </w:p>
    <w:p w14:paraId="4831C034" w14:textId="77777777" w:rsidR="00D24415" w:rsidRDefault="00DB126A">
      <w:pPr>
        <w:spacing w:before="180" w:after="60"/>
      </w:pPr>
      <w:r>
        <w:rPr>
          <w:b/>
          <w:bCs/>
          <w:color w:val="1A8A7D"/>
        </w:rPr>
        <w:t>1. TASK</w:t>
      </w:r>
    </w:p>
    <w:p w14:paraId="4831C035" w14:textId="77777777" w:rsidR="00D24415" w:rsidRDefault="00DB126A">
      <w:pPr>
        <w:spacing w:before="40" w:after="60"/>
        <w:ind w:left="360"/>
      </w:pPr>
      <w:r>
        <w:rPr>
          <w:color w:val="333333"/>
          <w:sz w:val="21"/>
          <w:szCs w:val="21"/>
        </w:rPr>
        <w:t>Explain the step-by-step mechanism of Fischer esterification, including the role of the acid catalyst, nucleophilic attack, proton transfers, and the loss of water to form the ester product.</w:t>
      </w:r>
    </w:p>
    <w:p w14:paraId="4831C036" w14:textId="77777777" w:rsidR="00D24415" w:rsidRDefault="00DB126A">
      <w:pPr>
        <w:spacing w:before="180" w:after="60"/>
      </w:pPr>
      <w:r>
        <w:rPr>
          <w:b/>
          <w:bCs/>
          <w:color w:val="1A8A7D"/>
        </w:rPr>
        <w:t>2. CONSTRAINT</w:t>
      </w:r>
    </w:p>
    <w:p w14:paraId="4831C037" w14:textId="77777777" w:rsidR="00D24415" w:rsidRDefault="00DB126A">
      <w:pPr>
        <w:spacing w:before="40" w:after="60"/>
        <w:ind w:left="360"/>
      </w:pPr>
      <w:r>
        <w:rPr>
          <w:color w:val="333333"/>
          <w:sz w:val="21"/>
          <w:szCs w:val="21"/>
        </w:rPr>
        <w:t>Use proper arrow-pushing notation descriptions for each step. Include the role of the acid catalyst (e.g., sulfuric acid). Limit the explanation to the basic mechanism (no side reactions). Target length: 400-500 words.</w:t>
      </w:r>
    </w:p>
    <w:p w14:paraId="4831C038" w14:textId="77777777" w:rsidR="00D24415" w:rsidRDefault="00DB126A">
      <w:pPr>
        <w:spacing w:before="180" w:after="60"/>
      </w:pPr>
      <w:r>
        <w:rPr>
          <w:b/>
          <w:bCs/>
          <w:color w:val="1A8A7D"/>
        </w:rPr>
        <w:t>3. SOURCES</w:t>
      </w:r>
    </w:p>
    <w:p w14:paraId="4831C039" w14:textId="77777777" w:rsidR="00D24415" w:rsidRDefault="00DB126A">
      <w:pPr>
        <w:spacing w:before="40" w:after="40"/>
        <w:ind w:left="360"/>
      </w:pPr>
      <w:r>
        <w:rPr>
          <w:color w:val="333333"/>
          <w:sz w:val="21"/>
          <w:szCs w:val="21"/>
        </w:rPr>
        <w:t>Source 1: Chemistry LibreTexts - Fischer Esterification chapter (mechanism diagrams and explanation)</w:t>
      </w:r>
    </w:p>
    <w:p w14:paraId="4831C03A" w14:textId="77777777" w:rsidR="00D24415" w:rsidRDefault="00DB126A">
      <w:pPr>
        <w:spacing w:before="40" w:after="40"/>
        <w:ind w:left="360"/>
      </w:pPr>
      <w:r>
        <w:rPr>
          <w:color w:val="333333"/>
          <w:sz w:val="21"/>
          <w:szCs w:val="21"/>
        </w:rPr>
        <w:t>Source 2: Organic Chemistry by Klein, Chapter 20 - Carboxylic Acid Derivatives (textbook reference for proton transfer steps)</w:t>
      </w:r>
    </w:p>
    <w:p w14:paraId="4831C03B" w14:textId="77777777" w:rsidR="00D24415" w:rsidRDefault="00DB126A">
      <w:pPr>
        <w:spacing w:before="40" w:after="40"/>
        <w:ind w:left="360"/>
      </w:pPr>
      <w:r>
        <w:rPr>
          <w:color w:val="333333"/>
          <w:sz w:val="21"/>
          <w:szCs w:val="21"/>
        </w:rPr>
        <w:t>Source 3: Khan Academy - Esterification reaction video notes (supplementary visual walkthrough)</w:t>
      </w:r>
    </w:p>
    <w:p w14:paraId="4831C03C" w14:textId="77777777" w:rsidR="00D24415" w:rsidRDefault="00DB126A">
      <w:pPr>
        <w:spacing w:before="180" w:after="60"/>
      </w:pPr>
      <w:r>
        <w:rPr>
          <w:b/>
          <w:bCs/>
          <w:color w:val="1A8A7D"/>
        </w:rPr>
        <w:t>4. OUTPUT</w:t>
      </w:r>
    </w:p>
    <w:p w14:paraId="4831C03D" w14:textId="77777777" w:rsidR="00D24415" w:rsidRDefault="00DB126A">
      <w:pPr>
        <w:spacing w:before="40" w:after="60"/>
        <w:ind w:left="360"/>
      </w:pPr>
      <w:r>
        <w:rPr>
          <w:color w:val="333333"/>
          <w:sz w:val="21"/>
          <w:szCs w:val="21"/>
        </w:rPr>
        <w:t>A clear, sequential explanation of the Fischer esterification mechanism in 5-6 numbered steps, starting with protonation of the carbonyl oxygen and ending with loss of water and regeneration of the acid catalyst. Each step should name the type of reaction occurring (e.g., protonation, nucleophilic addition, elimination).</w:t>
      </w:r>
    </w:p>
    <w:p w14:paraId="4831C03E" w14:textId="77777777" w:rsidR="00D24415" w:rsidRDefault="00DB126A">
      <w:pPr>
        <w:spacing w:before="180" w:after="60"/>
      </w:pPr>
      <w:r>
        <w:rPr>
          <w:b/>
          <w:bCs/>
          <w:color w:val="1A8A7D"/>
        </w:rPr>
        <w:t>5. VERIFY</w:t>
      </w:r>
    </w:p>
    <w:p w14:paraId="4831C03F" w14:textId="77777777" w:rsidR="00D24415" w:rsidRDefault="00DB126A">
      <w:pPr>
        <w:spacing w:before="40" w:after="60"/>
        <w:ind w:left="360"/>
      </w:pPr>
      <w:r>
        <w:rPr>
          <w:color w:val="333333"/>
          <w:sz w:val="21"/>
          <w:szCs w:val="21"/>
        </w:rPr>
        <w:t>Check each mechanistic step against the LibreTexts source. Confirm the catalyst is regenerated at the end. Verify that no atoms are gained or lost (conservation of mass). Cross-reference the number of proton transfer steps with the Klein textbook.</w:t>
      </w:r>
    </w:p>
    <w:p w14:paraId="4831C040" w14:textId="77777777" w:rsidR="00D24415" w:rsidRDefault="00DB126A">
      <w:r>
        <w:br w:type="page"/>
      </w:r>
    </w:p>
    <w:p w14:paraId="4831C041" w14:textId="77777777" w:rsidR="00D24415" w:rsidRDefault="00DB126A">
      <w:pPr>
        <w:spacing w:before="120" w:after="60"/>
      </w:pPr>
      <w:r>
        <w:rPr>
          <w:b/>
          <w:bCs/>
          <w:color w:val="FFFFFF"/>
          <w:shd w:val="clear" w:color="auto" w:fill="2E8B8B"/>
        </w:rPr>
        <w:lastRenderedPageBreak/>
        <w:t xml:space="preserve">  PHARMACY  </w:t>
      </w:r>
      <w:r>
        <w:rPr>
          <w:b/>
          <w:bCs/>
          <w:color w:val="1B3A4B"/>
          <w:sz w:val="26"/>
          <w:szCs w:val="26"/>
        </w:rPr>
        <w:t xml:space="preserve">   Drug Interactions of Warfarin</w:t>
      </w:r>
    </w:p>
    <w:p w14:paraId="4831C042" w14:textId="77777777" w:rsidR="00D24415" w:rsidRDefault="00DB126A">
      <w:pPr>
        <w:spacing w:before="60" w:after="200"/>
      </w:pPr>
      <w:r>
        <w:rPr>
          <w:b/>
          <w:bCs/>
          <w:i/>
          <w:iCs/>
          <w:color w:val="555555"/>
          <w:sz w:val="20"/>
          <w:szCs w:val="20"/>
        </w:rPr>
        <w:t xml:space="preserve">Article: </w:t>
      </w:r>
      <w:r>
        <w:rPr>
          <w:i/>
          <w:iCs/>
          <w:color w:val="555555"/>
          <w:sz w:val="20"/>
          <w:szCs w:val="20"/>
        </w:rPr>
        <w:t>Warfarin Drug Interactions - StatPearls (NCBI open-access)</w:t>
      </w:r>
    </w:p>
    <w:p w14:paraId="4831C043" w14:textId="77777777" w:rsidR="00D24415" w:rsidRDefault="00DB126A">
      <w:pPr>
        <w:spacing w:before="180" w:after="60"/>
      </w:pPr>
      <w:r>
        <w:rPr>
          <w:b/>
          <w:bCs/>
          <w:color w:val="1A8A7D"/>
        </w:rPr>
        <w:t>1. TASK</w:t>
      </w:r>
    </w:p>
    <w:p w14:paraId="4831C044" w14:textId="77777777" w:rsidR="00D24415" w:rsidRDefault="00DB126A">
      <w:pPr>
        <w:spacing w:before="40" w:after="60"/>
        <w:ind w:left="360"/>
      </w:pPr>
      <w:r>
        <w:rPr>
          <w:color w:val="333333"/>
          <w:sz w:val="21"/>
          <w:szCs w:val="21"/>
        </w:rPr>
        <w:t>Summarize the major drug interactions for warfarin, focusing on the most clinically significant interactions that increase or decrease its anticoagulant effect, and explain why monitoring INR is essential.</w:t>
      </w:r>
    </w:p>
    <w:p w14:paraId="4831C045" w14:textId="77777777" w:rsidR="00D24415" w:rsidRDefault="00DB126A">
      <w:pPr>
        <w:spacing w:before="180" w:after="60"/>
      </w:pPr>
      <w:r>
        <w:rPr>
          <w:b/>
          <w:bCs/>
          <w:color w:val="1A8A7D"/>
        </w:rPr>
        <w:t>2. CONSTRAINT</w:t>
      </w:r>
    </w:p>
    <w:p w14:paraId="4831C046" w14:textId="77777777" w:rsidR="00D24415" w:rsidRDefault="00DB126A">
      <w:pPr>
        <w:spacing w:before="40" w:after="60"/>
        <w:ind w:left="360"/>
      </w:pPr>
      <w:r>
        <w:rPr>
          <w:color w:val="333333"/>
          <w:sz w:val="21"/>
          <w:szCs w:val="21"/>
        </w:rPr>
        <w:t>Cover at least 3 drugs that increase warfarin effect and 3 that decrease it. Include the mechanism of each interaction (e.g., CYP2C9 inhibition, vitamin K competition). Use clinical language appropriate for a pharmacy student. Target length: 400-500 words.</w:t>
      </w:r>
    </w:p>
    <w:p w14:paraId="4831C047" w14:textId="77777777" w:rsidR="00D24415" w:rsidRDefault="00DB126A">
      <w:pPr>
        <w:spacing w:before="180" w:after="60"/>
      </w:pPr>
      <w:r>
        <w:rPr>
          <w:b/>
          <w:bCs/>
          <w:color w:val="1A8A7D"/>
        </w:rPr>
        <w:t>3. SOURCES</w:t>
      </w:r>
    </w:p>
    <w:p w14:paraId="4831C048" w14:textId="77777777" w:rsidR="00D24415" w:rsidRDefault="00DB126A">
      <w:pPr>
        <w:spacing w:before="40" w:after="40"/>
        <w:ind w:left="360"/>
      </w:pPr>
      <w:r>
        <w:rPr>
          <w:color w:val="333333"/>
          <w:sz w:val="21"/>
          <w:szCs w:val="21"/>
        </w:rPr>
        <w:t>Source 1: StatPearls - Warfarin Drug Interactions (primary reference for interaction types and mechanisms)</w:t>
      </w:r>
    </w:p>
    <w:p w14:paraId="4831C049" w14:textId="77777777" w:rsidR="00D24415" w:rsidRDefault="00DB126A">
      <w:pPr>
        <w:spacing w:before="40" w:after="40"/>
        <w:ind w:left="360"/>
      </w:pPr>
      <w:r>
        <w:rPr>
          <w:color w:val="333333"/>
          <w:sz w:val="21"/>
          <w:szCs w:val="21"/>
        </w:rPr>
        <w:t>Source 2: Pharmacotherapy Handbook by DiPiro, Chapter on Anticoagulation (textbook cross-reference)</w:t>
      </w:r>
    </w:p>
    <w:p w14:paraId="4831C04A" w14:textId="77777777" w:rsidR="00D24415" w:rsidRDefault="00DB126A">
      <w:pPr>
        <w:spacing w:before="40" w:after="40"/>
        <w:ind w:left="360"/>
      </w:pPr>
      <w:r>
        <w:rPr>
          <w:color w:val="333333"/>
          <w:sz w:val="21"/>
          <w:szCs w:val="21"/>
        </w:rPr>
        <w:t>Source 3: FDA Warfarin Label - Drug Interaction Section (official prescribing information)</w:t>
      </w:r>
    </w:p>
    <w:p w14:paraId="4831C04B" w14:textId="77777777" w:rsidR="00D24415" w:rsidRDefault="00DB126A">
      <w:pPr>
        <w:spacing w:before="180" w:after="60"/>
      </w:pPr>
      <w:r>
        <w:rPr>
          <w:b/>
          <w:bCs/>
          <w:color w:val="1A8A7D"/>
        </w:rPr>
        <w:t>4. OUTPUT</w:t>
      </w:r>
    </w:p>
    <w:p w14:paraId="4831C04C" w14:textId="77777777" w:rsidR="00D24415" w:rsidRDefault="00DB126A">
      <w:pPr>
        <w:spacing w:before="40" w:after="60"/>
        <w:ind w:left="360"/>
      </w:pPr>
      <w:r>
        <w:rPr>
          <w:color w:val="333333"/>
          <w:sz w:val="21"/>
          <w:szCs w:val="21"/>
        </w:rPr>
        <w:t>A structured summary organized into two categories: (1) Drugs that potentiate warfarin (increase bleeding risk) and (2) Drugs that antagonize warfarin (decrease efficacy). Each entry should name the interacting drug, the mechanism, and the clinical consequence. End with a brief paragraph on why INR monitoring is critical.</w:t>
      </w:r>
    </w:p>
    <w:p w14:paraId="4831C04D" w14:textId="77777777" w:rsidR="00D24415" w:rsidRDefault="00DB126A">
      <w:pPr>
        <w:spacing w:before="180" w:after="60"/>
      </w:pPr>
      <w:r>
        <w:rPr>
          <w:b/>
          <w:bCs/>
          <w:color w:val="1A8A7D"/>
        </w:rPr>
        <w:t>5. VERIFY</w:t>
      </w:r>
    </w:p>
    <w:p w14:paraId="4831C04E" w14:textId="77777777" w:rsidR="00D24415" w:rsidRDefault="00DB126A">
      <w:pPr>
        <w:spacing w:before="40" w:after="60"/>
        <w:ind w:left="360"/>
      </w:pPr>
      <w:r>
        <w:rPr>
          <w:color w:val="333333"/>
          <w:sz w:val="21"/>
          <w:szCs w:val="21"/>
        </w:rPr>
        <w:t>Cross-check each listed interaction against the StatPearls article and the FDA label. Confirm the CYP enzyme pathways mentioned are accurate. Verify that the clinical consequences described (e.g., bleeding risk, clot risk) match established pharmacology references.</w:t>
      </w:r>
    </w:p>
    <w:p w14:paraId="4831C04F" w14:textId="77777777" w:rsidR="00D24415" w:rsidRDefault="00DB126A">
      <w:r>
        <w:br w:type="page"/>
      </w:r>
    </w:p>
    <w:p w14:paraId="4831C050" w14:textId="77777777" w:rsidR="00D24415" w:rsidRDefault="00DB126A">
      <w:pPr>
        <w:spacing w:before="120" w:after="60"/>
      </w:pPr>
      <w:r>
        <w:rPr>
          <w:b/>
          <w:bCs/>
          <w:color w:val="FFFFFF"/>
          <w:shd w:val="clear" w:color="auto" w:fill="D97941"/>
        </w:rPr>
        <w:lastRenderedPageBreak/>
        <w:t xml:space="preserve">  INDUSTRIAL PHARMACY  </w:t>
      </w:r>
      <w:r>
        <w:rPr>
          <w:b/>
          <w:bCs/>
          <w:color w:val="1B3A4B"/>
          <w:sz w:val="26"/>
          <w:szCs w:val="26"/>
        </w:rPr>
        <w:t xml:space="preserve">   Wet Granulation vs. Direct Compression for Tablet Manufacturing</w:t>
      </w:r>
    </w:p>
    <w:p w14:paraId="4831C051" w14:textId="77777777" w:rsidR="00D24415" w:rsidRDefault="00DB126A">
      <w:pPr>
        <w:spacing w:before="60" w:after="200"/>
      </w:pPr>
      <w:r>
        <w:rPr>
          <w:b/>
          <w:bCs/>
          <w:i/>
          <w:iCs/>
          <w:color w:val="555555"/>
          <w:sz w:val="20"/>
          <w:szCs w:val="20"/>
        </w:rPr>
        <w:t xml:space="preserve">Article: </w:t>
      </w:r>
      <w:r>
        <w:rPr>
          <w:i/>
          <w:iCs/>
          <w:color w:val="555555"/>
          <w:sz w:val="20"/>
          <w:szCs w:val="20"/>
        </w:rPr>
        <w:t>Tablet Manufacturing Methods - Journal of Pharmaceutical Sciences and Research (open-access review)</w:t>
      </w:r>
    </w:p>
    <w:p w14:paraId="4831C052" w14:textId="77777777" w:rsidR="00D24415" w:rsidRDefault="00DB126A">
      <w:pPr>
        <w:spacing w:before="180" w:after="60"/>
      </w:pPr>
      <w:r>
        <w:rPr>
          <w:b/>
          <w:bCs/>
          <w:color w:val="1A8A7D"/>
        </w:rPr>
        <w:t>1. TASK</w:t>
      </w:r>
    </w:p>
    <w:p w14:paraId="4831C053" w14:textId="77777777" w:rsidR="00D24415" w:rsidRDefault="00DB126A">
      <w:pPr>
        <w:spacing w:before="40" w:after="60"/>
        <w:ind w:left="360"/>
      </w:pPr>
      <w:r>
        <w:rPr>
          <w:color w:val="333333"/>
          <w:sz w:val="21"/>
          <w:szCs w:val="21"/>
        </w:rPr>
        <w:t>Compare wet granulation and direct compression as two methods for manufacturing a tablet formulation, discussing the process steps, advantages, disadvantages, and the types of drugs best suited for each method.</w:t>
      </w:r>
    </w:p>
    <w:p w14:paraId="4831C054" w14:textId="77777777" w:rsidR="00D24415" w:rsidRDefault="00DB126A">
      <w:pPr>
        <w:spacing w:before="180" w:after="60"/>
      </w:pPr>
      <w:r>
        <w:rPr>
          <w:b/>
          <w:bCs/>
          <w:color w:val="1A8A7D"/>
        </w:rPr>
        <w:t>2. CONSTRAINT</w:t>
      </w:r>
    </w:p>
    <w:p w14:paraId="4831C055" w14:textId="77777777" w:rsidR="00D24415" w:rsidRDefault="00DB126A">
      <w:pPr>
        <w:spacing w:before="40" w:after="60"/>
        <w:ind w:left="360"/>
      </w:pPr>
      <w:r>
        <w:rPr>
          <w:color w:val="333333"/>
          <w:sz w:val="21"/>
          <w:szCs w:val="21"/>
        </w:rPr>
        <w:t>Present the comparison in a balanced way covering both methods equally. Include at least 3 advantages and 3 disadvantages for each. Mention equipment used (e.g., fluid bed dryer, tablet press). Target length: 400-500 words.</w:t>
      </w:r>
    </w:p>
    <w:p w14:paraId="4831C056" w14:textId="77777777" w:rsidR="00D24415" w:rsidRDefault="00DB126A">
      <w:pPr>
        <w:spacing w:before="180" w:after="60"/>
      </w:pPr>
      <w:r>
        <w:rPr>
          <w:b/>
          <w:bCs/>
          <w:color w:val="1A8A7D"/>
        </w:rPr>
        <w:t>3. SOURCES</w:t>
      </w:r>
    </w:p>
    <w:p w14:paraId="4831C057" w14:textId="77777777" w:rsidR="00D24415" w:rsidRDefault="00DB126A">
      <w:pPr>
        <w:spacing w:before="40" w:after="40"/>
        <w:ind w:left="360"/>
      </w:pPr>
      <w:r>
        <w:rPr>
          <w:color w:val="333333"/>
          <w:sz w:val="21"/>
          <w:szCs w:val="21"/>
        </w:rPr>
        <w:t>Source 1: Journal of Pharmaceutical Sciences and Research - Review of Tablet Manufacturing Techniques (process overview and comparison)</w:t>
      </w:r>
    </w:p>
    <w:p w14:paraId="4831C058" w14:textId="77777777" w:rsidR="00D24415" w:rsidRDefault="00DB126A">
      <w:pPr>
        <w:spacing w:before="40" w:after="40"/>
        <w:ind w:left="360"/>
      </w:pPr>
      <w:r>
        <w:rPr>
          <w:color w:val="333333"/>
          <w:sz w:val="21"/>
          <w:szCs w:val="21"/>
        </w:rPr>
        <w:t>Source 2: Aulton's Pharmaceutics, Chapter on Granulation and Tableting (textbook reference for process parameters)</w:t>
      </w:r>
    </w:p>
    <w:p w14:paraId="4831C059" w14:textId="77777777" w:rsidR="00D24415" w:rsidRDefault="00DB126A">
      <w:pPr>
        <w:spacing w:before="40" w:after="40"/>
        <w:ind w:left="360"/>
      </w:pPr>
      <w:r>
        <w:rPr>
          <w:color w:val="333333"/>
          <w:sz w:val="21"/>
          <w:szCs w:val="21"/>
        </w:rPr>
        <w:t>Source 3: Pharmaceutical Engineering by Remington, Tablet Compression Section (supplementary detail on equipment and excipients)</w:t>
      </w:r>
    </w:p>
    <w:p w14:paraId="4831C05A" w14:textId="77777777" w:rsidR="00D24415" w:rsidRDefault="00DB126A">
      <w:pPr>
        <w:spacing w:before="180" w:after="60"/>
      </w:pPr>
      <w:r>
        <w:rPr>
          <w:b/>
          <w:bCs/>
          <w:color w:val="1A8A7D"/>
        </w:rPr>
        <w:t>4. OUTPUT</w:t>
      </w:r>
    </w:p>
    <w:p w14:paraId="4831C05B" w14:textId="77777777" w:rsidR="00D24415" w:rsidRDefault="00DB126A">
      <w:pPr>
        <w:spacing w:before="40" w:after="60"/>
        <w:ind w:left="360"/>
      </w:pPr>
      <w:r>
        <w:rPr>
          <w:color w:val="333333"/>
          <w:sz w:val="21"/>
          <w:szCs w:val="21"/>
        </w:rPr>
        <w:t>A side-by-side comparison covering: process steps for each method, key advantages (e.g., better flow for wet granulation, fewer steps for direct compression), key disadvantages (e.g., heat sensitivity issues, poor compressibility), and a concluding recommendation on when to choose each method based on drug properties.</w:t>
      </w:r>
    </w:p>
    <w:p w14:paraId="4831C05C" w14:textId="77777777" w:rsidR="00D24415" w:rsidRDefault="00DB126A">
      <w:pPr>
        <w:spacing w:before="180" w:after="60"/>
      </w:pPr>
      <w:r>
        <w:rPr>
          <w:b/>
          <w:bCs/>
          <w:color w:val="1A8A7D"/>
        </w:rPr>
        <w:t>5. VERIFY</w:t>
      </w:r>
    </w:p>
    <w:p w14:paraId="4831C05D" w14:textId="77777777" w:rsidR="00D24415" w:rsidRDefault="00DB126A">
      <w:pPr>
        <w:spacing w:before="40" w:after="60"/>
        <w:ind w:left="360"/>
      </w:pPr>
      <w:r>
        <w:rPr>
          <w:color w:val="333333"/>
          <w:sz w:val="21"/>
          <w:szCs w:val="21"/>
        </w:rPr>
        <w:t>Verify the process steps described match Aulton's textbook. Confirm that the advantages/disadvantages listed are accurate and not contradictory. Check that the equipment mentioned (e.g., high-shear mixer, fluid bed dryer) is correctly matched to the right method.</w:t>
      </w:r>
    </w:p>
    <w:p w14:paraId="4831C05E" w14:textId="77777777" w:rsidR="00D24415" w:rsidRDefault="00DB126A">
      <w:r>
        <w:br w:type="page"/>
      </w:r>
    </w:p>
    <w:p w14:paraId="4831C05F" w14:textId="77777777" w:rsidR="00D24415" w:rsidRDefault="00DB126A">
      <w:pPr>
        <w:spacing w:before="120" w:after="60"/>
      </w:pPr>
      <w:r>
        <w:rPr>
          <w:b/>
          <w:bCs/>
          <w:color w:val="FFFFFF"/>
          <w:shd w:val="clear" w:color="auto" w:fill="3E7CB1"/>
        </w:rPr>
        <w:lastRenderedPageBreak/>
        <w:t xml:space="preserve">  INFORMATION MANAGEMENT  </w:t>
      </w:r>
      <w:r>
        <w:rPr>
          <w:b/>
          <w:bCs/>
          <w:color w:val="1B3A4B"/>
          <w:sz w:val="26"/>
          <w:szCs w:val="26"/>
        </w:rPr>
        <w:t xml:space="preserve">   Database Normalization: Analyzing a Case Study</w:t>
      </w:r>
    </w:p>
    <w:p w14:paraId="4831C060" w14:textId="77777777" w:rsidR="00D24415" w:rsidRDefault="00DB126A">
      <w:pPr>
        <w:spacing w:before="60" w:after="200"/>
      </w:pPr>
      <w:r>
        <w:rPr>
          <w:b/>
          <w:bCs/>
          <w:i/>
          <w:iCs/>
          <w:color w:val="555555"/>
          <w:sz w:val="20"/>
          <w:szCs w:val="20"/>
        </w:rPr>
        <w:t xml:space="preserve">Article: </w:t>
      </w:r>
      <w:r>
        <w:rPr>
          <w:i/>
          <w:iCs/>
          <w:color w:val="555555"/>
          <w:sz w:val="20"/>
          <w:szCs w:val="20"/>
        </w:rPr>
        <w:t>Database Normalization Explained - Oracle Documentation / Simple Talk (open-access tutorial)</w:t>
      </w:r>
    </w:p>
    <w:p w14:paraId="4831C061" w14:textId="77777777" w:rsidR="00D24415" w:rsidRDefault="00DB126A">
      <w:pPr>
        <w:spacing w:before="180" w:after="60"/>
      </w:pPr>
      <w:r>
        <w:rPr>
          <w:b/>
          <w:bCs/>
          <w:color w:val="1A8A7D"/>
        </w:rPr>
        <w:t>1. TASK</w:t>
      </w:r>
    </w:p>
    <w:p w14:paraId="4831C062" w14:textId="77777777" w:rsidR="00D24415" w:rsidRDefault="00DB126A">
      <w:pPr>
        <w:spacing w:before="40" w:after="60"/>
        <w:ind w:left="360"/>
      </w:pPr>
      <w:r>
        <w:rPr>
          <w:color w:val="333333"/>
          <w:sz w:val="21"/>
          <w:szCs w:val="21"/>
        </w:rPr>
        <w:t>Analyze a sample unnormalized database table (e.g., a student enrollment system) and demonstrate how to normalize it through 1NF, 2NF, and 3NF, explaining the purpose and benefit of each normal form.</w:t>
      </w:r>
    </w:p>
    <w:p w14:paraId="4831C063" w14:textId="77777777" w:rsidR="00D24415" w:rsidRDefault="00DB126A">
      <w:pPr>
        <w:spacing w:before="180" w:after="60"/>
      </w:pPr>
      <w:r>
        <w:rPr>
          <w:b/>
          <w:bCs/>
          <w:color w:val="1A8A7D"/>
        </w:rPr>
        <w:t>2. CONSTRAINT</w:t>
      </w:r>
    </w:p>
    <w:p w14:paraId="4831C064" w14:textId="77777777" w:rsidR="00D24415" w:rsidRDefault="00DB126A">
      <w:pPr>
        <w:spacing w:before="40" w:after="60"/>
        <w:ind w:left="360"/>
      </w:pPr>
      <w:r>
        <w:rPr>
          <w:color w:val="333333"/>
          <w:sz w:val="21"/>
          <w:szCs w:val="21"/>
        </w:rPr>
        <w:t>Use a concrete example table with sample data (e.g., StudentID, Name, Course, Instructor, Department). Show the table before and after each normalization step. Explain each normal form in plain language. Target length: 400-500 words.</w:t>
      </w:r>
    </w:p>
    <w:p w14:paraId="4831C065" w14:textId="77777777" w:rsidR="00D24415" w:rsidRDefault="00DB126A">
      <w:pPr>
        <w:spacing w:before="180" w:after="60"/>
      </w:pPr>
      <w:r>
        <w:rPr>
          <w:b/>
          <w:bCs/>
          <w:color w:val="1A8A7D"/>
        </w:rPr>
        <w:t>3. SOURCES</w:t>
      </w:r>
    </w:p>
    <w:p w14:paraId="4831C066" w14:textId="77777777" w:rsidR="00D24415" w:rsidRDefault="00DB126A">
      <w:pPr>
        <w:spacing w:before="40" w:after="40"/>
        <w:ind w:left="360"/>
      </w:pPr>
      <w:r>
        <w:rPr>
          <w:color w:val="333333"/>
          <w:sz w:val="21"/>
          <w:szCs w:val="21"/>
        </w:rPr>
        <w:t>Source 1: Oracle Documentation - Database Normalization Overview (definitions and rules for 1NF, 2NF, 3NF)</w:t>
      </w:r>
    </w:p>
    <w:p w14:paraId="4831C067" w14:textId="77777777" w:rsidR="00D24415" w:rsidRDefault="00DB126A">
      <w:pPr>
        <w:spacing w:before="40" w:after="40"/>
        <w:ind w:left="360"/>
      </w:pPr>
      <w:r>
        <w:rPr>
          <w:color w:val="333333"/>
          <w:sz w:val="21"/>
          <w:szCs w:val="21"/>
        </w:rPr>
        <w:t>Source 2: Database Systems: A Practical Approach by Connolly &amp; Begg, Chapter 14 (textbook case study examples)</w:t>
      </w:r>
    </w:p>
    <w:p w14:paraId="4831C068" w14:textId="77777777" w:rsidR="00D24415" w:rsidRDefault="00DB126A">
      <w:pPr>
        <w:spacing w:before="40" w:after="40"/>
        <w:ind w:left="360"/>
      </w:pPr>
      <w:r>
        <w:rPr>
          <w:color w:val="333333"/>
          <w:sz w:val="21"/>
          <w:szCs w:val="21"/>
        </w:rPr>
        <w:t>Source 3: Simple Talk - A Simple Guide to Five Normal Forms (supplementary plain-language explanation)</w:t>
      </w:r>
    </w:p>
    <w:p w14:paraId="4831C069" w14:textId="77777777" w:rsidR="00D24415" w:rsidRDefault="00DB126A">
      <w:pPr>
        <w:spacing w:before="180" w:after="60"/>
      </w:pPr>
      <w:r>
        <w:rPr>
          <w:b/>
          <w:bCs/>
          <w:color w:val="1A8A7D"/>
        </w:rPr>
        <w:t>4. OUTPUT</w:t>
      </w:r>
    </w:p>
    <w:p w14:paraId="4831C06A" w14:textId="77777777" w:rsidR="00D24415" w:rsidRDefault="00DB126A">
      <w:pPr>
        <w:spacing w:before="40" w:after="60"/>
        <w:ind w:left="360"/>
      </w:pPr>
      <w:r>
        <w:rPr>
          <w:color w:val="333333"/>
          <w:sz w:val="21"/>
          <w:szCs w:val="21"/>
        </w:rPr>
        <w:t>A step-by-step walkthrough starting with an unnormalized table, then producing three revised versions: the 1NF table (eliminating repeating groups), the 2NF tables (removing partial dependencies), and the 3NF tables (removing transitive dependencies). Each step should include a brief explanation of what problem it solves.</w:t>
      </w:r>
    </w:p>
    <w:p w14:paraId="4831C06B" w14:textId="77777777" w:rsidR="00D24415" w:rsidRDefault="00DB126A">
      <w:pPr>
        <w:spacing w:before="180" w:after="60"/>
      </w:pPr>
      <w:r>
        <w:rPr>
          <w:b/>
          <w:bCs/>
          <w:color w:val="1A8A7D"/>
        </w:rPr>
        <w:t>5. VERIFY</w:t>
      </w:r>
    </w:p>
    <w:p w14:paraId="4831C06C" w14:textId="77777777" w:rsidR="00D24415" w:rsidRDefault="00DB126A">
      <w:pPr>
        <w:spacing w:before="40" w:after="60"/>
        <w:ind w:left="360"/>
      </w:pPr>
      <w:r>
        <w:rPr>
          <w:color w:val="333333"/>
          <w:sz w:val="21"/>
          <w:szCs w:val="21"/>
        </w:rPr>
        <w:t>Verify that each normal form transformation is correct by checking the dependency rules. Confirm 1NF eliminates repeating groups, 2NF removes partial dependencies, and 3NF removes transitive dependencies. Cross-check definitions against the Oracle documentation.</w:t>
      </w:r>
    </w:p>
    <w:p w14:paraId="4831C06D" w14:textId="77777777" w:rsidR="00D24415" w:rsidRDefault="00DB126A">
      <w:r>
        <w:br w:type="page"/>
      </w:r>
    </w:p>
    <w:p w14:paraId="4831C06E" w14:textId="77777777" w:rsidR="00D24415" w:rsidRDefault="00DB126A">
      <w:pPr>
        <w:spacing w:before="120" w:after="60"/>
      </w:pPr>
      <w:r>
        <w:rPr>
          <w:b/>
          <w:bCs/>
          <w:color w:val="FFFFFF"/>
          <w:shd w:val="clear" w:color="auto" w:fill="C75C5C"/>
        </w:rPr>
        <w:lastRenderedPageBreak/>
        <w:t xml:space="preserve">  ENGLISH LITERATURE  </w:t>
      </w:r>
      <w:r>
        <w:rPr>
          <w:b/>
          <w:bCs/>
          <w:color w:val="1B3A4B"/>
          <w:sz w:val="26"/>
          <w:szCs w:val="26"/>
        </w:rPr>
        <w:t xml:space="preserve">   The Symbol of the Green Light in The Great Gatsby</w:t>
      </w:r>
    </w:p>
    <w:p w14:paraId="4831C06F" w14:textId="77777777" w:rsidR="00D24415" w:rsidRDefault="00DB126A">
      <w:pPr>
        <w:spacing w:before="60" w:after="200"/>
      </w:pPr>
      <w:r>
        <w:rPr>
          <w:b/>
          <w:bCs/>
          <w:i/>
          <w:iCs/>
          <w:color w:val="555555"/>
          <w:sz w:val="20"/>
          <w:szCs w:val="20"/>
        </w:rPr>
        <w:t xml:space="preserve">Article: </w:t>
      </w:r>
      <w:r>
        <w:rPr>
          <w:i/>
          <w:iCs/>
          <w:color w:val="555555"/>
          <w:sz w:val="20"/>
          <w:szCs w:val="20"/>
        </w:rPr>
        <w:t>SparkNotes: The Great Gatsby - Symbols (open-access literary analysis)</w:t>
      </w:r>
    </w:p>
    <w:p w14:paraId="4831C070" w14:textId="77777777" w:rsidR="00D24415" w:rsidRDefault="00DB126A">
      <w:pPr>
        <w:spacing w:before="180" w:after="60"/>
      </w:pPr>
      <w:r>
        <w:rPr>
          <w:b/>
          <w:bCs/>
          <w:color w:val="1A8A7D"/>
        </w:rPr>
        <w:t>1. TASK</w:t>
      </w:r>
    </w:p>
    <w:p w14:paraId="4831C071" w14:textId="77777777" w:rsidR="00D24415" w:rsidRDefault="00DB126A">
      <w:pPr>
        <w:spacing w:before="40" w:after="60"/>
        <w:ind w:left="360"/>
      </w:pPr>
      <w:r>
        <w:rPr>
          <w:color w:val="333333"/>
          <w:sz w:val="21"/>
          <w:szCs w:val="21"/>
        </w:rPr>
        <w:t>Analyze the symbolism of the green light in F. Scott Fitzgerald's The Great Gatsby, explaining what it represents at different points in the novel and how it connects to the broader theme of the American Dream.</w:t>
      </w:r>
    </w:p>
    <w:p w14:paraId="4831C072" w14:textId="77777777" w:rsidR="00D24415" w:rsidRDefault="00DB126A">
      <w:pPr>
        <w:spacing w:before="180" w:after="60"/>
      </w:pPr>
      <w:r>
        <w:rPr>
          <w:b/>
          <w:bCs/>
          <w:color w:val="1A8A7D"/>
        </w:rPr>
        <w:t>2. CONSTRAINT</w:t>
      </w:r>
    </w:p>
    <w:p w14:paraId="4831C073" w14:textId="77777777" w:rsidR="00D24415" w:rsidRDefault="00DB126A">
      <w:pPr>
        <w:spacing w:before="40" w:after="60"/>
        <w:ind w:left="360"/>
      </w:pPr>
      <w:r>
        <w:rPr>
          <w:color w:val="333333"/>
          <w:sz w:val="21"/>
          <w:szCs w:val="21"/>
        </w:rPr>
        <w:t>Reference at least 3 specific scenes or quotes involving the green light. Connect the symbol to Gatsby's character development. Discuss how the symbol's meaning shifts from hope to disillusionment. Target length: 400-500 words.</w:t>
      </w:r>
    </w:p>
    <w:p w14:paraId="4831C074" w14:textId="77777777" w:rsidR="00D24415" w:rsidRDefault="00DB126A">
      <w:pPr>
        <w:spacing w:before="180" w:after="60"/>
      </w:pPr>
      <w:r>
        <w:rPr>
          <w:b/>
          <w:bCs/>
          <w:color w:val="1A8A7D"/>
        </w:rPr>
        <w:t>3. SOURCES</w:t>
      </w:r>
    </w:p>
    <w:p w14:paraId="4831C075" w14:textId="77777777" w:rsidR="00D24415" w:rsidRDefault="00DB126A">
      <w:pPr>
        <w:spacing w:before="40" w:after="40"/>
        <w:ind w:left="360"/>
      </w:pPr>
      <w:r>
        <w:rPr>
          <w:color w:val="333333"/>
          <w:sz w:val="21"/>
          <w:szCs w:val="21"/>
        </w:rPr>
        <w:t>Source 1: SparkNotes - The Great Gatsby Symbols: The Green Light (primary analysis source)</w:t>
      </w:r>
    </w:p>
    <w:p w14:paraId="4831C076" w14:textId="77777777" w:rsidR="00D24415" w:rsidRDefault="00DB126A">
      <w:pPr>
        <w:spacing w:before="40" w:after="40"/>
        <w:ind w:left="360"/>
      </w:pPr>
      <w:r>
        <w:rPr>
          <w:color w:val="333333"/>
          <w:sz w:val="21"/>
          <w:szCs w:val="21"/>
        </w:rPr>
        <w:t>Source 2: The Great Gatsby by F. Scott Fitzgerald, Chapters 1, 5, and 9 (primary text - key passages)</w:t>
      </w:r>
    </w:p>
    <w:p w14:paraId="4831C077" w14:textId="77777777" w:rsidR="00D24415" w:rsidRDefault="00DB126A">
      <w:pPr>
        <w:spacing w:before="40" w:after="40"/>
        <w:ind w:left="360"/>
      </w:pPr>
      <w:r>
        <w:rPr>
          <w:color w:val="333333"/>
          <w:sz w:val="21"/>
          <w:szCs w:val="21"/>
        </w:rPr>
        <w:t>Source 3: CliffsNotes - The Great Gatsby Theme Analysis: The American Dream (supplementary thematic context)</w:t>
      </w:r>
    </w:p>
    <w:p w14:paraId="4831C078" w14:textId="77777777" w:rsidR="00D24415" w:rsidRDefault="00DB126A">
      <w:pPr>
        <w:spacing w:before="180" w:after="60"/>
      </w:pPr>
      <w:r>
        <w:rPr>
          <w:b/>
          <w:bCs/>
          <w:color w:val="1A8A7D"/>
        </w:rPr>
        <w:t>4. OUTPUT</w:t>
      </w:r>
    </w:p>
    <w:p w14:paraId="4831C079" w14:textId="77777777" w:rsidR="00D24415" w:rsidRDefault="00DB126A">
      <w:pPr>
        <w:spacing w:before="40" w:after="60"/>
        <w:ind w:left="360"/>
      </w:pPr>
      <w:r>
        <w:rPr>
          <w:color w:val="333333"/>
          <w:sz w:val="21"/>
          <w:szCs w:val="21"/>
        </w:rPr>
        <w:t>A literary analysis essay structured in three parts: (1) Introduction of the green light as a symbol of Gatsby's longing and hope, with the Chapter 1 dock scene; (2) The shift in meaning when Gatsby is reunited with Daisy in Chapter 5; (3) The final reflection in Chapter 9 where the green light represents the unattainable American Dream for all. End with a thesis-level conclusion connecting the symbol to Fitzgerald's critique of the American Dream.</w:t>
      </w:r>
    </w:p>
    <w:p w14:paraId="4831C07A" w14:textId="77777777" w:rsidR="00D24415" w:rsidRDefault="00DB126A">
      <w:pPr>
        <w:spacing w:before="180" w:after="60"/>
      </w:pPr>
      <w:r>
        <w:rPr>
          <w:b/>
          <w:bCs/>
          <w:color w:val="1A8A7D"/>
        </w:rPr>
        <w:t>5. VERIFY</w:t>
      </w:r>
    </w:p>
    <w:p w14:paraId="4831C07B" w14:textId="77777777" w:rsidR="00D24415" w:rsidRDefault="00DB126A">
      <w:pPr>
        <w:spacing w:before="40" w:after="60"/>
        <w:ind w:left="360"/>
      </w:pPr>
      <w:r>
        <w:rPr>
          <w:color w:val="333333"/>
          <w:sz w:val="21"/>
          <w:szCs w:val="21"/>
        </w:rPr>
        <w:t>Verify all quotes and page references against the actual text of The Great Gatsby. Confirm the chapter numbers cited are correct. Cross-reference the symbolic interpretation with SparkNotes and CliffsNotes to ensure the analysis is consistent with established literary criticism.</w:t>
      </w:r>
    </w:p>
    <w:sectPr w:rsidR="00D2441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F919" w14:textId="77777777" w:rsidR="00DB126A" w:rsidRDefault="00DB126A">
      <w:r>
        <w:separator/>
      </w:r>
    </w:p>
  </w:endnote>
  <w:endnote w:type="continuationSeparator" w:id="0">
    <w:p w14:paraId="1922EEAC" w14:textId="77777777" w:rsidR="00DB126A" w:rsidRDefault="00DB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C07D" w14:textId="78F878F7" w:rsidR="00D24415" w:rsidRDefault="00DB126A">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F2CAC">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A606B" w14:textId="77777777" w:rsidR="00DB126A" w:rsidRDefault="00DB126A">
      <w:r>
        <w:separator/>
      </w:r>
    </w:p>
  </w:footnote>
  <w:footnote w:type="continuationSeparator" w:id="0">
    <w:p w14:paraId="6A0E5070" w14:textId="77777777" w:rsidR="00DB126A" w:rsidRDefault="00DB1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C07C" w14:textId="77777777" w:rsidR="00D24415" w:rsidRDefault="00DB126A">
    <w:pPr>
      <w:pBdr>
        <w:bottom w:val="single" w:sz="4" w:space="1" w:color="1A8A7D"/>
      </w:pBdr>
    </w:pPr>
    <w:r>
      <w:rPr>
        <w:i/>
        <w:iCs/>
        <w:color w:val="999999"/>
        <w:sz w:val="18"/>
        <w:szCs w:val="18"/>
      </w:rPr>
      <w:t>Exercise 3: Build Your Source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594A"/>
    <w:multiLevelType w:val="hybridMultilevel"/>
    <w:tmpl w:val="818E9F14"/>
    <w:lvl w:ilvl="0" w:tplc="3E3AC790">
      <w:start w:val="1"/>
      <w:numFmt w:val="bullet"/>
      <w:lvlText w:val="●"/>
      <w:lvlJc w:val="left"/>
      <w:pPr>
        <w:ind w:left="720" w:hanging="360"/>
      </w:pPr>
    </w:lvl>
    <w:lvl w:ilvl="1" w:tplc="56F43482">
      <w:start w:val="1"/>
      <w:numFmt w:val="bullet"/>
      <w:lvlText w:val="○"/>
      <w:lvlJc w:val="left"/>
      <w:pPr>
        <w:ind w:left="1440" w:hanging="360"/>
      </w:pPr>
    </w:lvl>
    <w:lvl w:ilvl="2" w:tplc="E500BA58">
      <w:start w:val="1"/>
      <w:numFmt w:val="bullet"/>
      <w:lvlText w:val="■"/>
      <w:lvlJc w:val="left"/>
      <w:pPr>
        <w:ind w:left="2160" w:hanging="360"/>
      </w:pPr>
    </w:lvl>
    <w:lvl w:ilvl="3" w:tplc="77CC50AC">
      <w:start w:val="1"/>
      <w:numFmt w:val="bullet"/>
      <w:lvlText w:val="●"/>
      <w:lvlJc w:val="left"/>
      <w:pPr>
        <w:ind w:left="2880" w:hanging="360"/>
      </w:pPr>
    </w:lvl>
    <w:lvl w:ilvl="4" w:tplc="4BB6FA72">
      <w:start w:val="1"/>
      <w:numFmt w:val="bullet"/>
      <w:lvlText w:val="○"/>
      <w:lvlJc w:val="left"/>
      <w:pPr>
        <w:ind w:left="3600" w:hanging="360"/>
      </w:pPr>
    </w:lvl>
    <w:lvl w:ilvl="5" w:tplc="759C534E">
      <w:start w:val="1"/>
      <w:numFmt w:val="bullet"/>
      <w:lvlText w:val="■"/>
      <w:lvlJc w:val="left"/>
      <w:pPr>
        <w:ind w:left="4320" w:hanging="360"/>
      </w:pPr>
    </w:lvl>
    <w:lvl w:ilvl="6" w:tplc="433236EE">
      <w:start w:val="1"/>
      <w:numFmt w:val="bullet"/>
      <w:lvlText w:val="●"/>
      <w:lvlJc w:val="left"/>
      <w:pPr>
        <w:ind w:left="5040" w:hanging="360"/>
      </w:pPr>
    </w:lvl>
    <w:lvl w:ilvl="7" w:tplc="C60A1072">
      <w:start w:val="1"/>
      <w:numFmt w:val="bullet"/>
      <w:lvlText w:val="●"/>
      <w:lvlJc w:val="left"/>
      <w:pPr>
        <w:ind w:left="5760" w:hanging="360"/>
      </w:pPr>
    </w:lvl>
    <w:lvl w:ilvl="8" w:tplc="4E3CD662">
      <w:start w:val="1"/>
      <w:numFmt w:val="bullet"/>
      <w:lvlText w:val="●"/>
      <w:lvlJc w:val="left"/>
      <w:pPr>
        <w:ind w:left="6480" w:hanging="360"/>
      </w:pPr>
    </w:lvl>
  </w:abstractNum>
  <w:num w:numId="1" w16cid:durableId="636957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415"/>
    <w:rsid w:val="000F2CAC"/>
    <w:rsid w:val="00D24415"/>
    <w:rsid w:val="00DB126A"/>
    <w:rsid w:val="00E52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1C026"/>
  <w15:docId w15:val="{4123CD71-AE9C-4F88-8C6D-56050A74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Wael Rahhal</cp:lastModifiedBy>
  <cp:revision>2</cp:revision>
  <dcterms:created xsi:type="dcterms:W3CDTF">2026-04-14T11:03:00Z</dcterms:created>
  <dcterms:modified xsi:type="dcterms:W3CDTF">2026-04-14T15:34:00Z</dcterms:modified>
</cp:coreProperties>
</file>