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Personalization Pipeline</w:t>
      </w:r>
    </w:p>
    <w:p>
      <w:pPr>
        <w:spacing w:after="60"/>
        <w:jc w:val="center"/>
      </w:pPr>
      <w:r>
        <w:rPr>
          <w:b/>
          <w:bCs/>
          <w:color w:val="2E5A9E"/>
          <w:sz w:val="26"/>
          <w:szCs w:val="26"/>
        </w:rPr>
        <w:t xml:space="preserve">AI Digital Twin Framework for Personalized Education</w:t>
      </w:r>
    </w:p>
    <w:p>
      <w:pPr>
        <w:spacing w:after="240"/>
        <w:jc w:val="center"/>
      </w:pPr>
      <w:r>
        <w:rPr>
          <w:i/>
          <w:iCs/>
          <w:sz w:val="22"/>
          <w:szCs w:val="22"/>
        </w:rPr>
        <w:t xml:space="preserve">Team Beta · Week 1, Day 1 · Step 3 Deliverable (docs/Personalization_Pipeline.md)</w:t>
      </w:r>
    </w:p>
    <w:p>
      <w:pPr>
        <w:pStyle w:val="Heading1"/>
        <w:spacing w:after="160" w:before="360"/>
      </w:pPr>
      <w:r>
        <w:t xml:space="preserve">1. The Core Claim</w:t>
      </w:r>
    </w:p>
    <w:p>
      <w:pPr>
        <w:spacing w:after="120"/>
      </w:pPr>
      <w:r>
        <w:t xml:space="preserve">A stateless chatbot performs one step: receive question → answer. This pipeline deliberately inserts stages </w:t>
      </w:r>
      <w:r>
        <w:rPr>
          <w:b/>
          <w:bCs/>
        </w:rPr>
        <w:t xml:space="preserve">before</w:t>
      </w:r>
      <w:r>
        <w:t xml:space="preserve"> reasoning (learn who this student is) and </w:t>
      </w:r>
      <w:r>
        <w:rPr>
          <w:b/>
          <w:bCs/>
        </w:rPr>
        <w:t xml:space="preserve">after</w:t>
      </w:r>
      <w:r>
        <w:t xml:space="preserve"> it (record what was learned about them). </w:t>
      </w:r>
      <w:r>
        <w:rPr>
          <w:b/>
          <w:bCs/>
        </w:rPr>
        <w:t xml:space="preserve">Personalize first, then reason.</w:t>
      </w:r>
      <w:r>
        <w:t xml:space="preserve"> Personalization is a property of the pipeline's structure, not of any prompt — the same architectural thesis stated in the Agent Ecosystem, expressed here as a sequence of stages that executes for every message.</w:t>
      </w:r>
    </w:p>
    <w:p>
      <w:pPr>
        <w:pStyle w:val="Heading1"/>
        <w:spacing w:after="160" w:before="360"/>
      </w:pPr>
      <w:r>
        <w:t xml:space="preserve">2. The One-Template Principle</w:t>
      </w:r>
    </w:p>
    <w:p>
      <w:pPr>
        <w:spacing w:after="120"/>
      </w:pPr>
      <w:r>
        <w:t xml:space="preserve">There is </w:t>
      </w:r>
      <w:r>
        <w:rPr>
          <w:b/>
          <w:bCs/>
        </w:rPr>
        <w:t xml:space="preserve">one pipeline, not five</w:t>
      </w:r>
      <w:r>
        <w:t xml:space="preserve">. The stages are identical for every message; only the agent occupying the middle slot changes, chosen by the router. The surrounding stages adapt automatically because every agent declares the same contract shape (fields, permissions, worksheet) in the Agent Ecosystem: Retrieve pulls whichever fields the slotted agent's contract declares, the briefing is written from whatever was selected, Explainability audits whichever output emerged, and the Memory stage receives proposals only from agents that make them. Personalization lives in the pipeline; agents are interchangeable passengers.</w:t>
      </w:r>
    </w:p>
    <w:p>
      <w:pPr>
        <w:shd w:fill="F2F2F2" w:val="clear"/>
        <w:spacing w:after="0"/>
        <w:jc w:val="center"/>
      </w:pPr>
      <w:r>
        <w:rPr>
          <w:rFonts w:ascii="Consolas" w:cs="Consolas" w:eastAsia="Consolas" w:hAnsi="Consolas"/>
          <w:sz w:val="19"/>
          <w:szCs w:val="19"/>
        </w:rPr>
        <w:t xml:space="preserve">User Input</w:t>
      </w:r>
    </w:p>
    <w:p>
      <w:pPr>
        <w:shd w:fill="F2F2F2" w:val="clear"/>
        <w:spacing w:after="0"/>
        <w:jc w:val="center"/>
      </w:pPr>
      <w:r>
        <w:rPr>
          <w:rFonts w:ascii="Consolas" w:cs="Consolas" w:eastAsia="Consolas" w:hAnsi="Consolas"/>
          <w:sz w:val="19"/>
          <w:szCs w:val="19"/>
        </w:rPr>
        <w:t xml:space="preserve">↓</w:t>
      </w:r>
    </w:p>
    <w:p>
      <w:pPr>
        <w:shd w:fill="F2F2F2" w:val="clear"/>
        <w:spacing w:after="0"/>
        <w:jc w:val="center"/>
      </w:pPr>
      <w:r>
        <w:rPr>
          <w:rFonts w:ascii="Consolas" w:cs="Consolas" w:eastAsia="Consolas" w:hAnsi="Consolas"/>
          <w:sz w:val="19"/>
          <w:szCs w:val="19"/>
        </w:rPr>
        <w:t xml:space="preserve">Intent Detection</w:t>
      </w:r>
    </w:p>
    <w:p>
      <w:pPr>
        <w:shd w:fill="F2F2F2" w:val="clear"/>
        <w:spacing w:after="0"/>
        <w:jc w:val="center"/>
      </w:pPr>
      <w:r>
        <w:rPr>
          <w:rFonts w:ascii="Consolas" w:cs="Consolas" w:eastAsia="Consolas" w:hAnsi="Consolas"/>
          <w:sz w:val="19"/>
          <w:szCs w:val="19"/>
        </w:rPr>
        <w:t xml:space="preserve">↓</w:t>
      </w:r>
    </w:p>
    <w:p>
      <w:pPr>
        <w:shd w:fill="F2F2F2" w:val="clear"/>
        <w:spacing w:after="0"/>
        <w:jc w:val="center"/>
      </w:pPr>
      <w:r>
        <w:rPr>
          <w:rFonts w:ascii="Consolas" w:cs="Consolas" w:eastAsia="Consolas" w:hAnsi="Consolas"/>
          <w:sz w:val="19"/>
          <w:szCs w:val="19"/>
        </w:rPr>
        <w:t xml:space="preserve">Retrieve Digital Twin  (Cut 1 — by contract)</w:t>
      </w:r>
    </w:p>
    <w:p>
      <w:pPr>
        <w:shd w:fill="F2F2F2" w:val="clear"/>
        <w:spacing w:after="0"/>
        <w:jc w:val="center"/>
      </w:pPr>
      <w:r>
        <w:rPr>
          <w:rFonts w:ascii="Consolas" w:cs="Consolas" w:eastAsia="Consolas" w:hAnsi="Consolas"/>
          <w:sz w:val="19"/>
          <w:szCs w:val="19"/>
        </w:rPr>
        <w:t xml:space="preserve">↓</w:t>
      </w:r>
    </w:p>
    <w:p>
      <w:pPr>
        <w:shd w:fill="F2F2F2" w:val="clear"/>
        <w:spacing w:after="0"/>
        <w:jc w:val="center"/>
      </w:pPr>
      <w:r>
        <w:rPr>
          <w:rFonts w:ascii="Consolas" w:cs="Consolas" w:eastAsia="Consolas" w:hAnsi="Consolas"/>
          <w:sz w:val="19"/>
          <w:szCs w:val="19"/>
        </w:rPr>
        <w:t xml:space="preserve">Select Relevant State  (Cut 2 — by situation)</w:t>
      </w:r>
    </w:p>
    <w:p>
      <w:pPr>
        <w:shd w:fill="F2F2F2" w:val="clear"/>
        <w:spacing w:after="0"/>
        <w:jc w:val="center"/>
      </w:pPr>
      <w:r>
        <w:rPr>
          <w:rFonts w:ascii="Consolas" w:cs="Consolas" w:eastAsia="Consolas" w:hAnsi="Consolas"/>
          <w:sz w:val="19"/>
          <w:szCs w:val="19"/>
        </w:rPr>
        <w:t xml:space="preserve">↓</w:t>
      </w:r>
    </w:p>
    <w:p>
      <w:pPr>
        <w:shd w:fill="F2F2F2" w:val="clear"/>
        <w:spacing w:after="0"/>
        <w:jc w:val="center"/>
      </w:pPr>
      <w:r>
        <w:rPr>
          <w:rFonts w:ascii="Consolas" w:cs="Consolas" w:eastAsia="Consolas" w:hAnsi="Consolas"/>
          <w:sz w:val="19"/>
          <w:szCs w:val="19"/>
        </w:rPr>
        <w:t xml:space="preserve">Generate Personalized Context  (the briefing)</w:t>
      </w:r>
    </w:p>
    <w:p>
      <w:pPr>
        <w:shd w:fill="F2F2F2" w:val="clear"/>
        <w:spacing w:after="0"/>
        <w:jc w:val="center"/>
      </w:pPr>
      <w:r>
        <w:rPr>
          <w:rFonts w:ascii="Consolas" w:cs="Consolas" w:eastAsia="Consolas" w:hAnsi="Consolas"/>
          <w:sz w:val="19"/>
          <w:szCs w:val="19"/>
        </w:rPr>
        <w:t xml:space="preserve">↓</w:t>
      </w:r>
    </w:p>
    <w:p>
      <w:pPr>
        <w:shd w:fill="F2F2F2" w:val="clear"/>
        <w:spacing w:after="0"/>
        <w:jc w:val="center"/>
      </w:pPr>
      <w:r>
        <w:rPr>
          <w:rFonts w:ascii="Consolas" w:cs="Consolas" w:eastAsia="Consolas" w:hAnsi="Consolas"/>
          <w:sz w:val="19"/>
          <w:szCs w:val="19"/>
        </w:rPr>
        <w:t xml:space="preserve">[ AGENT SLOT: reasoning → content output ]</w:t>
      </w:r>
    </w:p>
    <w:p>
      <w:pPr>
        <w:shd w:fill="F2F2F2" w:val="clear"/>
        <w:spacing w:after="0"/>
        <w:jc w:val="center"/>
      </w:pPr>
      <w:r>
        <w:rPr>
          <w:rFonts w:ascii="Consolas" w:cs="Consolas" w:eastAsia="Consolas" w:hAnsi="Consolas"/>
          <w:sz w:val="19"/>
          <w:szCs w:val="19"/>
        </w:rPr>
        <w:t xml:space="preserve">↓</w:t>
      </w:r>
    </w:p>
    <w:p>
      <w:pPr>
        <w:shd w:fill="F2F2F2" w:val="clear"/>
        <w:spacing w:after="0"/>
        <w:jc w:val="center"/>
      </w:pPr>
      <w:r>
        <w:rPr>
          <w:rFonts w:ascii="Consolas" w:cs="Consolas" w:eastAsia="Consolas" w:hAnsi="Consolas"/>
          <w:sz w:val="19"/>
          <w:szCs w:val="19"/>
        </w:rPr>
        <w:t xml:space="preserve">Generate Explanation  (Explainability Agent)</w:t>
      </w:r>
    </w:p>
    <w:p>
      <w:pPr>
        <w:shd w:fill="F2F2F2" w:val="clear"/>
        <w:spacing w:after="0"/>
        <w:jc w:val="center"/>
      </w:pPr>
      <w:r>
        <w:rPr>
          <w:rFonts w:ascii="Consolas" w:cs="Consolas" w:eastAsia="Consolas" w:hAnsi="Consolas"/>
          <w:sz w:val="19"/>
          <w:szCs w:val="19"/>
        </w:rPr>
        <w:t xml:space="preserve">↓</w:t>
      </w:r>
    </w:p>
    <w:p>
      <w:pPr>
        <w:shd w:fill="F2F2F2" w:val="clear"/>
        <w:spacing w:after="0"/>
        <w:jc w:val="center"/>
      </w:pPr>
      <w:r>
        <w:rPr>
          <w:rFonts w:ascii="Consolas" w:cs="Consolas" w:eastAsia="Consolas" w:hAnsi="Consolas"/>
          <w:sz w:val="19"/>
          <w:szCs w:val="19"/>
        </w:rPr>
        <w:t xml:space="preserve">Evaluate Memory Update  (Memory Decision node)</w:t>
      </w:r>
    </w:p>
    <w:p>
      <w:pPr>
        <w:shd w:fill="F2F2F2" w:val="clear"/>
        <w:spacing w:after="0"/>
        <w:jc w:val="center"/>
      </w:pPr>
      <w:r>
        <w:rPr>
          <w:rFonts w:ascii="Consolas" w:cs="Consolas" w:eastAsia="Consolas" w:hAnsi="Consolas"/>
          <w:sz w:val="19"/>
          <w:szCs w:val="19"/>
        </w:rPr>
        <w:t xml:space="preserve">↓</w:t>
      </w:r>
    </w:p>
    <w:p>
      <w:pPr>
        <w:shd w:fill="F2F2F2" w:val="clear"/>
        <w:spacing w:after="160"/>
        <w:jc w:val="center"/>
      </w:pPr>
      <w:r>
        <w:rPr>
          <w:rFonts w:ascii="Consolas" w:cs="Consolas" w:eastAsia="Consolas" w:hAnsi="Consolas"/>
          <w:sz w:val="19"/>
          <w:szCs w:val="19"/>
        </w:rPr>
        <w:t xml:space="preserve">Return Response</w:t>
      </w:r>
    </w:p>
    <w:p>
      <w:pPr>
        <w:pStyle w:val="Heading1"/>
        <w:spacing w:after="160" w:before="360"/>
      </w:pPr>
      <w:r>
        <w:t xml:space="preserve">3. The Ten Stages</w:t>
      </w:r>
    </w:p>
    <w:p>
      <w:pPr>
        <w:spacing w:after="60" w:before="200"/>
      </w:pPr>
      <w:r>
        <w:rPr>
          <w:b/>
          <w:bCs/>
          <w:color w:val="2E5A9E"/>
          <w:sz w:val="24"/>
          <w:szCs w:val="24"/>
        </w:rPr>
        <w:t xml:space="preserve">Stage 1 — User Input</w:t>
      </w:r>
    </w:p>
    <w:p>
      <w:pPr>
        <w:spacing w:after="140"/>
      </w:pPr>
      <w:r>
        <w:t xml:space="preserve">The raw utterance is captured and attached to a session/student ID — the ID tells the system </w:t>
      </w:r>
      <w:r>
        <w:rPr>
          <w:i/>
          <w:iCs/>
        </w:rPr>
        <w:t xml:space="preserve">whose</w:t>
      </w:r>
      <w:r>
        <w:t xml:space="preserve"> Twin every later stage operates on. Hands text + ID downstream.</w:t>
      </w:r>
    </w:p>
    <w:p>
      <w:pPr>
        <w:spacing w:after="60" w:before="200"/>
      </w:pPr>
      <w:r>
        <w:rPr>
          <w:b/>
          <w:bCs/>
          <w:color w:val="2E5A9E"/>
          <w:sz w:val="24"/>
          <w:szCs w:val="24"/>
        </w:rPr>
        <w:t xml:space="preserve">Stage 2 — Intent Detection</w:t>
      </w:r>
    </w:p>
    <w:p>
      <w:pPr>
        <w:spacing w:after="140"/>
      </w:pPr>
      <w:r>
        <w:t xml:space="preserve">One lightweight LLM classification call: text in → one label out (</w:t>
      </w:r>
      <w:r>
        <w:rPr>
          <w:rFonts w:ascii="Consolas" w:cs="Consolas" w:eastAsia="Consolas" w:hAnsi="Consolas"/>
          <w:sz w:val="20"/>
          <w:szCs w:val="20"/>
        </w:rPr>
        <w:t xml:space="preserve">tutoring_question</w:t>
      </w:r>
      <w:r>
        <w:t xml:space="preserve">, </w:t>
      </w:r>
      <w:r>
        <w:rPr>
          <w:rFonts w:ascii="Consolas" w:cs="Consolas" w:eastAsia="Consolas" w:hAnsi="Consolas"/>
          <w:sz w:val="20"/>
          <w:szCs w:val="20"/>
        </w:rPr>
        <w:t xml:space="preserve">career_question</w:t>
      </w:r>
      <w:r>
        <w:t xml:space="preserve">, </w:t>
      </w:r>
      <w:r>
        <w:rPr>
          <w:rFonts w:ascii="Consolas" w:cs="Consolas" w:eastAsia="Consolas" w:hAnsi="Consolas"/>
          <w:sz w:val="20"/>
          <w:szCs w:val="20"/>
        </w:rPr>
        <w:t xml:space="preserve">resource_request</w:t>
      </w:r>
      <w:r>
        <w:t xml:space="preserve">, </w:t>
      </w:r>
      <w:r>
        <w:rPr>
          <w:rFonts w:ascii="Consolas" w:cs="Consolas" w:eastAsia="Consolas" w:hAnsi="Consolas"/>
          <w:sz w:val="20"/>
          <w:szCs w:val="20"/>
        </w:rPr>
        <w:t xml:space="preserve">progress_check</w:t>
      </w:r>
      <w:r>
        <w:t xml:space="preserve">) plus a canonical topic extraction (controlled vocabulary, so downstream matching is exact). The label does two jobs: </w:t>
      </w:r>
      <w:r>
        <w:rPr>
          <w:b/>
          <w:bCs/>
        </w:rPr>
        <w:t xml:space="preserve">routing</w:t>
      </w:r>
      <w:r>
        <w:t xml:space="preserve"> (which agent wakes) and </w:t>
      </w:r>
      <w:r>
        <w:rPr>
          <w:b/>
          <w:bCs/>
        </w:rPr>
        <w:t xml:space="preserve">scoping</w:t>
      </w:r>
      <w:r>
        <w:t xml:space="preserve"> (which Twin slice is relevant).</w:t>
      </w:r>
    </w:p>
    <w:p>
      <w:pPr>
        <w:spacing w:after="60" w:before="200"/>
      </w:pPr>
      <w:r>
        <w:rPr>
          <w:b/>
          <w:bCs/>
          <w:color w:val="2E5A9E"/>
          <w:sz w:val="24"/>
          <w:szCs w:val="24"/>
        </w:rPr>
        <w:t xml:space="preserve">Stage 3 — Retrieve Digital Twin (Cut 1 — by contract)</w:t>
      </w:r>
    </w:p>
    <w:p>
      <w:pPr>
        <w:spacing w:after="140"/>
      </w:pPr>
      <w:r>
        <w:t xml:space="preserve">The router maps intent → agent, then reads that agent's </w:t>
      </w:r>
      <w:r>
        <w:rPr>
          <w:b/>
          <w:bCs/>
        </w:rPr>
        <w:t xml:space="preserve">declared field contract</w:t>
      </w:r>
      <w:r>
        <w:t xml:space="preserve"> from the Agent Ecosystem catalog — a configuration read; the agent is </w:t>
      </w:r>
      <w:r>
        <w:rPr>
          <w:i/>
          <w:iCs/>
        </w:rPr>
        <w:t xml:space="preserve">not</w:t>
      </w:r>
      <w:r>
        <w:t xml:space="preserve"> woken to ask what it needs. Retrieval fetches exactly the declared fields. This is a </w:t>
      </w:r>
      <w:r>
        <w:rPr>
          <w:b/>
          <w:bCs/>
        </w:rPr>
        <w:t xml:space="preserve">deterministic, schema-based query</w:t>
      </w:r>
      <w:r>
        <w:t xml:space="preserve"> over a known structure — not semantic search: given the same intent and Twin state, the same fields return every time, making retrieval exactly reproducible and auditable. (Vector-based semantic retrieval exists in this system only in the episodic memory layer — Team Alpha, Week 2 — where the underlying data is unstructured conversation history.)</w:t>
      </w:r>
    </w:p>
    <w:p>
      <w:pPr>
        <w:spacing w:after="60" w:before="200"/>
      </w:pPr>
      <w:r>
        <w:rPr>
          <w:b/>
          <w:bCs/>
          <w:color w:val="2E5A9E"/>
          <w:sz w:val="24"/>
          <w:szCs w:val="24"/>
        </w:rPr>
        <w:t xml:space="preserve">Stage 4 — Select Relevant State (Cut 2 — by situation)</w:t>
      </w:r>
    </w:p>
    <w:p>
      <w:pPr>
        <w:spacing w:after="140"/>
      </w:pPr>
      <w:r>
        <w:t xml:space="preserve">Deterministic code trims within the fetched fields to the current situation: topic match (using the canonical topic from Stage 2), prerequisite pull (via the knowledge graph — a mocked lookup table on Day 1, the real graph in Week 3), and recency caps (last N errors, active flags only). 300 mastery scores → the relevant ~15 lines. </w:t>
      </w:r>
      <w:r>
        <w:rPr>
          <w:b/>
          <w:bCs/>
        </w:rPr>
        <w:t xml:space="preserve">Footnote: </w:t>
      </w:r>
      <w:r>
        <w:t xml:space="preserve">context size is a prompt problem; deterministic agents (Recommendation, Prediction) have no prompt, so their Cut 2 lives inside their own algorithms (e.g., the weakness threshold), where large inputs are harmless — code has no attention to lose.</w:t>
      </w:r>
    </w:p>
    <w:p>
      <w:pPr>
        <w:spacing w:after="60" w:before="200"/>
      </w:pPr>
      <w:r>
        <w:rPr>
          <w:b/>
          <w:bCs/>
          <w:color w:val="2E5A9E"/>
          <w:sz w:val="24"/>
          <w:szCs w:val="24"/>
        </w:rPr>
        <w:t xml:space="preserve">Stage 5 — Generate Personalized Context (the briefing)</w:t>
      </w:r>
    </w:p>
    <w:p>
      <w:pPr>
        <w:spacing w:after="140"/>
      </w:pPr>
      <w:r>
        <w:t xml:space="preserve">Turns the selected raw fragments into a short, well-ordered text block for the LLM prompt — the briefing note: misconception warnings first, then mastery calibration, then preferences; prose the model uses well, not a JSON dump. Kept as a </w:t>
      </w:r>
      <w:r>
        <w:rPr>
          <w:b/>
          <w:bCs/>
        </w:rPr>
        <w:t xml:space="preserve">separate stage</w:t>
      </w:r>
      <w:r>
        <w:t xml:space="preserve"> because </w:t>
      </w:r>
      <w:r>
        <w:rPr>
          <w:i/>
          <w:iCs/>
        </w:rPr>
        <w:t xml:space="preserve">what data</w:t>
      </w:r>
      <w:r>
        <w:t xml:space="preserve"> (Stage 4) and </w:t>
      </w:r>
      <w:r>
        <w:rPr>
          <w:i/>
          <w:iCs/>
        </w:rPr>
        <w:t xml:space="preserve">how it is phrased</w:t>
      </w:r>
      <w:r>
        <w:t xml:space="preserve"> (Stage 5) are independent experimental variables: the Step 4 prompt experiments (full Twin vs. relevant subset vs. summarized Twin) vary exactly this stage while holding selection constant.</w:t>
      </w:r>
    </w:p>
    <w:p>
      <w:pPr>
        <w:spacing w:after="60" w:before="200"/>
      </w:pPr>
      <w:r>
        <w:rPr>
          <w:b/>
          <w:bCs/>
          <w:color w:val="2E5A9E"/>
          <w:sz w:val="24"/>
          <w:szCs w:val="24"/>
        </w:rPr>
        <w:t xml:space="preserve">Stage 6 — Agent Slot — Reasoning</w:t>
      </w:r>
    </w:p>
    <w:p>
      <w:pPr>
        <w:spacing w:after="140"/>
      </w:pPr>
      <w:r>
        <w:t xml:space="preserve">The routed agent executes its declared worksheet on the briefing: the Coach runs diagnose-before-explain; the Mentor runs gap analysis; the Recommendation Engine runs its score-based ranking; the Prediction Engine runs its forecast. LLM agents receive </w:t>
      </w:r>
      <w:r>
        <w:rPr>
          <w:b/>
          <w:bCs/>
        </w:rPr>
        <w:t xml:space="preserve">only the briefing</w:t>
      </w:r>
      <w:r>
        <w:t xml:space="preserve"> — they never see the unfiltered Twin; by the time an agent wakes, everything is already on its desk.</w:t>
      </w:r>
    </w:p>
    <w:p>
      <w:pPr>
        <w:spacing w:after="60" w:before="200"/>
      </w:pPr>
      <w:r>
        <w:rPr>
          <w:b/>
          <w:bCs/>
          <w:color w:val="2E5A9E"/>
          <w:sz w:val="24"/>
          <w:szCs w:val="24"/>
        </w:rPr>
        <w:t xml:space="preserve">Stage 7 — Agent Slot — Content Output</w:t>
      </w:r>
    </w:p>
    <w:p>
      <w:pPr>
        <w:spacing w:after="140"/>
      </w:pPr>
      <w:r>
        <w:t xml:space="preserve">The agent's product enters the pipeline's shared state: a pedagogical dialogue move, a direction with career rationale, a ranked resource list with scoring traces, or a structured prediction object — plus any hidden proposal (</w:t>
      </w:r>
      <w:r>
        <w:rPr>
          <w:rFonts w:ascii="Consolas" w:cs="Consolas" w:eastAsia="Consolas" w:hAnsi="Consolas"/>
          <w:sz w:val="20"/>
          <w:szCs w:val="20"/>
        </w:rPr>
        <w:t xml:space="preserve">interaction_signal</w:t>
      </w:r>
      <w:r>
        <w:t xml:space="preserve">, goal-change proposal). Agents never hand outputs to each other; the graph's structure carries shared state to the next stage.</w:t>
      </w:r>
    </w:p>
    <w:p>
      <w:pPr>
        <w:spacing w:after="60" w:before="200"/>
      </w:pPr>
      <w:r>
        <w:rPr>
          <w:b/>
          <w:bCs/>
          <w:color w:val="2E5A9E"/>
          <w:sz w:val="24"/>
          <w:szCs w:val="24"/>
        </w:rPr>
        <w:t xml:space="preserve">Stage 8 — Generate Explanation (Explainability Agent)</w:t>
      </w:r>
    </w:p>
    <w:p>
      <w:pPr>
        <w:spacing w:after="140"/>
      </w:pPr>
      <w:r>
        <w:t xml:space="preserve">A </w:t>
      </w:r>
      <w:r>
        <w:rPr>
          <w:b/>
          <w:bCs/>
        </w:rPr>
        <w:t xml:space="preserve">fixed stage that always runs</w:t>
      </w:r>
      <w:r>
        <w:t xml:space="preserve">, for every agent's output — not a routable destination. It always writes the decision record (the evidence chain: this data in → this decision out; the system's black box, consumed by evaluation and debugging) and attaches a user-facing rationale </w:t>
      </w:r>
      <w:r>
        <w:rPr>
          <w:b/>
          <w:bCs/>
        </w:rPr>
        <w:t xml:space="preserve">scaled to stakes</w:t>
      </w:r>
      <w:r>
        <w:t xml:space="preserve">: a quiet line or collapsed “why?” for routine turns, full justification (evidence, confidence, alternative) for consequential outputs. Distinct from the domain explaining inside Stages 6–7: the Coach explains the math (pedagogy); this stage explains the system's decision (transparency).</w:t>
      </w:r>
    </w:p>
    <w:p>
      <w:pPr>
        <w:spacing w:after="60" w:before="200"/>
      </w:pPr>
      <w:r>
        <w:rPr>
          <w:b/>
          <w:bCs/>
          <w:color w:val="2E5A9E"/>
          <w:sz w:val="24"/>
          <w:szCs w:val="24"/>
        </w:rPr>
        <w:t xml:space="preserve">Stage 9 — Evaluate Memory Update (Memory Decision node)</w:t>
      </w:r>
    </w:p>
    <w:p>
      <w:pPr>
        <w:spacing w:after="140"/>
      </w:pPr>
      <w:r>
        <w:t xml:space="preserve">The system's </w:t>
      </w:r>
      <w:r>
        <w:rPr>
          <w:b/>
          <w:bCs/>
        </w:rPr>
        <w:t xml:space="preserve">only writer</w:t>
      </w:r>
      <w:r>
        <w:t xml:space="preserve">. Consumes any proposals from Stage 7, validates each — consistent with existing data? sufficiently confident? new or duplicate? — then commits, merges, or discards, appending an audit entry either way. Turns with no proposals pass through untouched. This single gatekeeper is what arbitrates contradictory evidence across turns and agents and keeps the Twin's history reconstructible.</w:t>
      </w:r>
    </w:p>
    <w:p>
      <w:pPr>
        <w:spacing w:after="60" w:before="200"/>
      </w:pPr>
      <w:r>
        <w:rPr>
          <w:b/>
          <w:bCs/>
          <w:color w:val="2E5A9E"/>
          <w:sz w:val="24"/>
          <w:szCs w:val="24"/>
        </w:rPr>
        <w:t xml:space="preserve">Stage 10 — Return Response</w:t>
      </w:r>
    </w:p>
    <w:p>
      <w:pPr>
        <w:spacing w:after="140"/>
      </w:pPr>
      <w:r>
        <w:t xml:space="preserve">Content plus any visible rationale is assembled and returned to the single chat window. The student sees an answer; they never see agents, intent labels, signals, briefings, or records.</w:t>
      </w:r>
    </w:p>
    <w:p>
      <w:pPr>
        <w:pStyle w:val="Heading1"/>
        <w:spacing w:after="160" w:before="360"/>
      </w:pPr>
      <w:r>
        <w:t xml:space="preserve">4. Routing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DDE6F0" w:val="clear"/>
            <w:tcMar>
              <w:top w:type="dxa" w:w="60"/>
              <w:left w:type="dxa" w:w="100"/>
              <w:bottom w:type="dxa" w:w="60"/>
              <w:right w:type="dxa" w:w="100"/>
            </w:tcMar>
          </w:tcPr>
          <w:p>
            <w:r>
              <w:rPr>
                <w:b/>
                <w:bCs/>
              </w:rPr>
              <w:t xml:space="preserve">Detected intent / trigger</w:t>
            </w:r>
          </w:p>
        </w:tc>
        <w:tc>
          <w:tcPr>
            <w:tcW w:type="dxa" w:w="4700"/>
            <w:shd w:fill="DDE6F0" w:val="clear"/>
            <w:tcMar>
              <w:top w:type="dxa" w:w="60"/>
              <w:left w:type="dxa" w:w="100"/>
              <w:bottom w:type="dxa" w:w="60"/>
              <w:right w:type="dxa" w:w="100"/>
            </w:tcMar>
          </w:tcPr>
          <w:p>
            <w:r>
              <w:rPr>
                <w:b/>
                <w:bCs/>
              </w:rPr>
              <w:t xml:space="preserve">Agent-slot occupant</w:t>
            </w:r>
          </w:p>
        </w:tc>
      </w:tr>
      <w:tr>
        <w:tc>
          <w:tcPr>
            <w:tcW w:type="dxa" w:w="4700"/>
            <w:tcMar>
              <w:top w:type="dxa" w:w="60"/>
              <w:left w:type="dxa" w:w="100"/>
              <w:bottom w:type="dxa" w:w="60"/>
              <w:right w:type="dxa" w:w="100"/>
            </w:tcMar>
          </w:tcPr>
          <w:p>
            <w:r>
              <w:rPr>
                <w:rFonts w:ascii="Consolas" w:cs="Consolas" w:eastAsia="Consolas" w:hAnsi="Consolas"/>
                <w:sz w:val="20"/>
                <w:szCs w:val="20"/>
              </w:rPr>
              <w:t xml:space="preserve">tutoring_question</w:t>
            </w:r>
          </w:p>
        </w:tc>
        <w:tc>
          <w:tcPr>
            <w:tcW w:type="dxa" w:w="4700"/>
            <w:tcMar>
              <w:top w:type="dxa" w:w="60"/>
              <w:left w:type="dxa" w:w="100"/>
              <w:bottom w:type="dxa" w:w="60"/>
              <w:right w:type="dxa" w:w="100"/>
            </w:tcMar>
          </w:tcPr>
          <w:p>
            <w:r>
              <w:t xml:space="preserve">Study Coach</w:t>
            </w:r>
          </w:p>
        </w:tc>
      </w:tr>
      <w:tr>
        <w:tc>
          <w:tcPr>
            <w:tcW w:type="dxa" w:w="4700"/>
            <w:tcMar>
              <w:top w:type="dxa" w:w="60"/>
              <w:left w:type="dxa" w:w="100"/>
              <w:bottom w:type="dxa" w:w="60"/>
              <w:right w:type="dxa" w:w="100"/>
            </w:tcMar>
          </w:tcPr>
          <w:p>
            <w:r>
              <w:rPr>
                <w:rFonts w:ascii="Consolas" w:cs="Consolas" w:eastAsia="Consolas" w:hAnsi="Consolas"/>
                <w:sz w:val="20"/>
                <w:szCs w:val="20"/>
              </w:rPr>
              <w:t xml:space="preserve">career_question</w:t>
            </w:r>
            <w:r>
              <w:t xml:space="preserve"> / scheduled goal review</w:t>
            </w:r>
          </w:p>
        </w:tc>
        <w:tc>
          <w:tcPr>
            <w:tcW w:type="dxa" w:w="4700"/>
            <w:tcMar>
              <w:top w:type="dxa" w:w="60"/>
              <w:left w:type="dxa" w:w="100"/>
              <w:bottom w:type="dxa" w:w="60"/>
              <w:right w:type="dxa" w:w="100"/>
            </w:tcMar>
          </w:tcPr>
          <w:p>
            <w:r>
              <w:t xml:space="preserve">Career Mentor</w:t>
            </w:r>
          </w:p>
        </w:tc>
      </w:tr>
      <w:tr>
        <w:tc>
          <w:tcPr>
            <w:tcW w:type="dxa" w:w="4700"/>
            <w:tcMar>
              <w:top w:type="dxa" w:w="60"/>
              <w:left w:type="dxa" w:w="100"/>
              <w:bottom w:type="dxa" w:w="60"/>
              <w:right w:type="dxa" w:w="100"/>
            </w:tcMar>
          </w:tcPr>
          <w:p>
            <w:r>
              <w:rPr>
                <w:rFonts w:ascii="Consolas" w:cs="Consolas" w:eastAsia="Consolas" w:hAnsi="Consolas"/>
                <w:sz w:val="20"/>
                <w:szCs w:val="20"/>
              </w:rPr>
              <w:t xml:space="preserve">resource_request</w:t>
            </w:r>
          </w:p>
        </w:tc>
        <w:tc>
          <w:tcPr>
            <w:tcW w:type="dxa" w:w="4700"/>
            <w:tcMar>
              <w:top w:type="dxa" w:w="60"/>
              <w:left w:type="dxa" w:w="100"/>
              <w:bottom w:type="dxa" w:w="60"/>
              <w:right w:type="dxa" w:w="100"/>
            </w:tcMar>
          </w:tcPr>
          <w:p>
            <w:r>
              <w:t xml:space="preserve">Recommendation Engine</w:t>
            </w:r>
          </w:p>
        </w:tc>
      </w:tr>
      <w:tr>
        <w:tc>
          <w:tcPr>
            <w:tcW w:type="dxa" w:w="4700"/>
            <w:tcMar>
              <w:top w:type="dxa" w:w="60"/>
              <w:left w:type="dxa" w:w="100"/>
              <w:bottom w:type="dxa" w:w="60"/>
              <w:right w:type="dxa" w:w="100"/>
            </w:tcMar>
          </w:tcPr>
          <w:p>
            <w:r>
              <w:rPr>
                <w:rFonts w:ascii="Consolas" w:cs="Consolas" w:eastAsia="Consolas" w:hAnsi="Consolas"/>
                <w:sz w:val="20"/>
                <w:szCs w:val="20"/>
              </w:rPr>
              <w:t xml:space="preserve">progress_check</w:t>
            </w:r>
            <w:r>
              <w:t xml:space="preserve"> / scheduled risk refresh</w:t>
            </w:r>
          </w:p>
        </w:tc>
        <w:tc>
          <w:tcPr>
            <w:tcW w:type="dxa" w:w="4700"/>
            <w:tcMar>
              <w:top w:type="dxa" w:w="60"/>
              <w:left w:type="dxa" w:w="100"/>
              <w:bottom w:type="dxa" w:w="60"/>
              <w:right w:type="dxa" w:w="100"/>
            </w:tcMar>
          </w:tcPr>
          <w:p>
            <w:r>
              <w:t xml:space="preserve">Prediction Engine</w:t>
            </w:r>
          </w:p>
        </w:tc>
      </w:tr>
      <w:tr>
        <w:tc>
          <w:tcPr>
            <w:tcW w:type="dxa" w:w="4700"/>
            <w:tcMar>
              <w:top w:type="dxa" w:w="60"/>
              <w:left w:type="dxa" w:w="100"/>
              <w:bottom w:type="dxa" w:w="60"/>
              <w:right w:type="dxa" w:w="100"/>
            </w:tcMar>
          </w:tcPr>
          <w:p>
            <w:r>
              <w:t xml:space="preserve">Broad requests (e.g., “I'm weak at all of maths”)</w:t>
            </w:r>
          </w:p>
        </w:tc>
        <w:tc>
          <w:tcPr>
            <w:tcW w:type="dxa" w:w="4700"/>
            <w:tcMar>
              <w:top w:type="dxa" w:w="60"/>
              <w:left w:type="dxa" w:w="100"/>
              <w:bottom w:type="dxa" w:w="60"/>
              <w:right w:type="dxa" w:w="100"/>
            </w:tcMar>
          </w:tcPr>
          <w:p>
            <w:r>
              <w:t xml:space="preserve">Chain: Prediction → Mentor → Recommendation, passing outputs through shared state</w:t>
            </w:r>
          </w:p>
        </w:tc>
      </w:tr>
    </w:tbl>
    <w:p>
      <w:pPr>
        <w:spacing w:after="120"/>
      </w:pPr>
      <w:r>
        <w:rPr>
          <w:i/>
          <w:iCs/>
        </w:rPr>
        <w:t xml:space="preserve">The Explainability Agent is never routed to — it is Stage 8, not a destination: nobody asks “please explain a decision” as their question; explanations ride along with answers.</w:t>
      </w:r>
    </w:p>
    <w:p>
      <w:pPr>
        <w:pStyle w:val="Heading1"/>
        <w:spacing w:after="160" w:before="360"/>
      </w:pPr>
      <w:r>
        <w:t xml:space="preserve">5. Research Question — Retrieval before or after intent classification?</w:t>
      </w:r>
    </w:p>
    <w:p>
      <w:pPr>
        <w:spacing w:after="120"/>
      </w:pPr>
      <w:r>
        <w:rPr>
          <w:b/>
          <w:bCs/>
        </w:rPr>
        <w:t xml:space="preserve">Answer: intent first.</w:t>
      </w:r>
      <w:r>
        <w:t xml:space="preserve"> Cut 2 is impossible without knowing the topic and question type — the pipeline cannot select “eigenvalue-relevant entries” before knowing the message concerns eigenvalues, and Cut 1 cannot choose a contract before the router knows which agent the message belongs to.</w:t>
      </w:r>
    </w:p>
    <w:p>
      <w:pPr>
        <w:spacing w:after="120"/>
      </w:pPr>
      <w:r>
        <w:rPr>
          <w:b/>
          <w:bCs/>
        </w:rPr>
        <w:t xml:space="preserve">Rejected alternative — retrieve everything: </w:t>
      </w:r>
      <w:r>
        <w:t xml:space="preserve">unbounded token cost (the Twin grows forever by design, so the cost grows forever); degraded response quality (context distraction; the lost-in-the-middle effect — models attend poorly to the middle of long contexts, so the one relevant misconception may sit exactly where the model doesn't look); destroyed attributability (if every field was present, any field could explain a behavioral difference — the core personalization claim becomes unfalsifiable); collapsed explainability (the influence set is no longer known by construction); and dissolved agent boundaries (least privilege stops being enforced). The honest counterpoint — full retrieval is simpler and never under-retrieves — is exactly what the Step 4 prompt experiment measures rather than assumes.</w:t>
      </w:r>
    </w:p>
    <w:p>
      <w:pPr>
        <w:spacing w:after="120"/>
      </w:pPr>
      <w:r>
        <w:rPr>
          <w:b/>
          <w:bCs/>
        </w:rPr>
        <w:t xml:space="preserve">Honest cost of intent-first: </w:t>
      </w:r>
      <w:r>
        <w:t xml:space="preserve">one extra LLM call of latency per message, and a misclassified intent poisons the downstream turn (wrong agent, wrong slice). Mitigations: the classification call is small and cheap; intent accuracy is separately measurable, making it a testable node rather than a hidden failure; and a mid-conversation topic pivot self-corrects on the next turn's classification — one turn of slight mismatch, guarantee intact.</w:t>
      </w:r>
    </w:p>
    <w:p>
      <w:pPr>
        <w:pStyle w:val="Heading1"/>
        <w:spacing w:after="160" w:before="360"/>
      </w:pPr>
      <w:r>
        <w:t xml:space="preserve">6. Design Rules (established in architecture review)</w:t>
      </w:r>
    </w:p>
    <w:p>
      <w:pPr>
        <w:pStyle w:val="ListParagraph"/>
        <w:numPr>
          <w:ilvl w:val="0"/>
          <w:numId w:val="2"/>
        </w:numPr>
        <w:spacing w:after="80"/>
      </w:pPr>
      <w:r>
        <w:rPr>
          <w:b/>
          <w:bCs/>
        </w:rPr>
        <w:t xml:space="preserve">Agents are pure consumers. </w:t>
      </w:r>
      <w:r>
        <w:t xml:space="preserve">Retrieval is driven by declared contracts, never by waking an agent to ask what it needs. This keeps least privilege an </w:t>
      </w:r>
      <w:r>
        <w:rPr>
          <w:i/>
          <w:iCs/>
        </w:rPr>
        <w:t xml:space="preserve">enforced guarantee</w:t>
      </w:r>
      <w:r>
        <w:t xml:space="preserve"> (the agent physically cannot see beyond its contract) rather than LLM good behavior, saves a full LLM call per message, and makes retrieval reproducible.</w:t>
      </w:r>
    </w:p>
    <w:p>
      <w:pPr>
        <w:pStyle w:val="ListParagraph"/>
        <w:numPr>
          <w:ilvl w:val="0"/>
          <w:numId w:val="2"/>
        </w:numPr>
        <w:spacing w:after="80"/>
      </w:pPr>
      <w:r>
        <w:rPr>
          <w:b/>
          <w:bCs/>
        </w:rPr>
        <w:t xml:space="preserve">LLMs only ever touch small, pre-filtered text. </w:t>
      </w:r>
      <w:r>
        <w:t xml:space="preserve">Everything large is handled by deterministic code: the Select step filters hundreds of entries instantly and freely; deterministic agents loop over full fields harmlessly. Noise and cost are prompt problems — keep prompts small and the problems never arise.</w:t>
      </w:r>
    </w:p>
    <w:p>
      <w:pPr>
        <w:pStyle w:val="ListParagraph"/>
        <w:numPr>
          <w:ilvl w:val="0"/>
          <w:numId w:val="2"/>
        </w:numPr>
        <w:spacing w:after="80"/>
      </w:pPr>
      <w:r>
        <w:rPr>
          <w:b/>
          <w:bCs/>
        </w:rPr>
        <w:t xml:space="preserve">LLMs offline for features; deterministic decisions at request time. </w:t>
      </w:r>
      <w:r>
        <w:t xml:space="preserve">An LLM may tag corpus resources at ingestion (once, offline, verifiable); it never sources, ranks, or forecasts at request time — those decisions stay deterministic and decomposable so they are reproducible, attributable, and measurable. Corollary: </w:t>
      </w:r>
      <w:r>
        <w:rPr>
          <w:i/>
          <w:iCs/>
        </w:rPr>
        <w:t xml:space="preserve">fine-tune for behavior; retrieve for facts</w:t>
      </w:r>
      <w:r>
        <w:t xml:space="preserve"> — facts that must be true and current live in databases, never in model weights.</w:t>
      </w:r>
    </w:p>
    <w:p>
      <w:pPr>
        <w:pStyle w:val="Heading1"/>
        <w:spacing w:after="160" w:before="360"/>
      </w:pPr>
      <w:r>
        <w:t xml:space="preserve">7. Worked Trace</w:t>
      </w:r>
    </w:p>
    <w:p>
      <w:pPr>
        <w:spacing w:after="120"/>
      </w:pPr>
      <w:r>
        <w:t xml:space="preserve">See </w:t>
      </w:r>
      <w:r>
        <w:rPr>
          <w:b/>
          <w:bCs/>
        </w:rPr>
        <w:t xml:space="preserve">Agent Ecosystem, Appendix A</w:t>
      </w:r>
      <w:r>
        <w:t xml:space="preserve"> (“I don't understand Bayesian networks”, end-to-end): that trace is this pipeline executed once, including the two-student counterfactual — identical message, different Twin states, different responses, with the decision records as proof that the difference came from the Twin. The trace doubles as the reference walkthrough for the Step 7 LangGraph prototype and the Step 9 demonstration.</w:t>
      </w:r>
    </w:p>
    <w:p>
      <w:pPr>
        <w:pBdr>
          <w:left w:val="single" w:color="8A8A8A" w:sz="12" w:space="8"/>
        </w:pBdr>
        <w:spacing w:after="140"/>
        <w:ind w:left="431"/>
      </w:pPr>
      <w:r>
        <w:rPr>
          <w:b/>
          <w:bCs/>
        </w:rPr>
        <w:t xml:space="preserve">Cross-references: </w:t>
      </w:r>
      <w:r>
        <w:t xml:space="preserve">agent contracts, permissions, and boundaries — Agent Ecosystem (Step 1) and Responsibility Matrix (Step 2). Briefing-stage experiments — Prompt Architecture (Step 4). Decision records as evaluation substrate — Evaluation Framework (Step 8).</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3864"/>
      <w:sz w:val="44"/>
      <w:szCs w:val="44"/>
    </w:rPr>
  </w:style>
  <w:style w:type="paragraph" w:styleId="Heading1">
    <w:name w:val="Heading 1"/>
    <w:basedOn w:val="Normal"/>
    <w:next w:val="Normal"/>
    <w:qFormat/>
    <w:rPr>
      <w:b/>
      <w:bCs/>
      <w:color w:val="1F3864"/>
      <w:sz w:val="30"/>
      <w:szCs w:val="30"/>
    </w:rPr>
  </w:style>
  <w:style w:type="paragraph" w:styleId="Heading2">
    <w:name w:val="Heading 2"/>
    <w:basedOn w:val="Normal"/>
    <w:next w:val="Normal"/>
    <w:qFormat/>
    <w:rPr>
      <w:b/>
      <w:bCs/>
      <w:color w:val="2E5A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2026-07-13T06:02:39.480Z</dcterms:created>
  <dcterms:modified xsi:type="dcterms:W3CDTF">2026-07-13T06:02:39.501Z</dcterms:modified>
</cp:coreProperties>
</file>

<file path=docProps/custom.xml><?xml version="1.0" encoding="utf-8"?>
<Properties xmlns="http://schemas.openxmlformats.org/officeDocument/2006/custom-properties" xmlns:vt="http://schemas.openxmlformats.org/officeDocument/2006/docPropsVTypes"/>
</file>