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45F2" w14:textId="4413CE8F" w:rsidR="006C0731" w:rsidRPr="007C1E77" w:rsidRDefault="007C1E77" w:rsidP="007C1E77">
      <w:pPr>
        <w:pStyle w:val="Title"/>
        <w:jc w:val="center"/>
        <w:rPr>
          <w:sz w:val="36"/>
          <w:szCs w:val="36"/>
        </w:rPr>
      </w:pPr>
      <w:r w:rsidRPr="007C1E77">
        <w:rPr>
          <w:sz w:val="36"/>
          <w:szCs w:val="36"/>
        </w:rPr>
        <w:t>Coding Test Notes</w:t>
      </w:r>
    </w:p>
    <w:p w14:paraId="4F7E5A91" w14:textId="77777777" w:rsidR="007C1E77" w:rsidRDefault="007C1E77" w:rsidP="007C1E77"/>
    <w:p w14:paraId="715D66FA" w14:textId="4BDDEB24" w:rsidR="007C1E77" w:rsidRDefault="007C1E77" w:rsidP="007C1E77">
      <w:pPr>
        <w:pStyle w:val="Heading2"/>
      </w:pPr>
      <w:r>
        <w:t>Icing Algorithm</w:t>
      </w:r>
    </w:p>
    <w:p w14:paraId="63E644DA" w14:textId="067A4E3E" w:rsidR="007C1E77" w:rsidRDefault="007C1E77" w:rsidP="007C1E77">
      <w:r>
        <w:t>The USAF 1WXG (1</w:t>
      </w:r>
      <w:r w:rsidRPr="007C1E77">
        <w:rPr>
          <w:vertAlign w:val="superscript"/>
        </w:rPr>
        <w:t>st</w:t>
      </w:r>
      <w:r>
        <w:t xml:space="preserve"> </w:t>
      </w:r>
      <w:proofErr w:type="spellStart"/>
      <w:r>
        <w:t>WeatherGroup</w:t>
      </w:r>
      <w:proofErr w:type="spellEnd"/>
      <w:r>
        <w:t>)</w:t>
      </w:r>
      <w:r w:rsidR="00ED5CD0">
        <w:t xml:space="preserve"> is a combination of the NCAR FIP/CIP and USAF operational methodologies. While there are numerous microphysics equations available, the research team involved discovered that a 4D fluid mechanics &amp; thermodynamics approach better captured the areas conducive to icing. The algorithm was refined over the course of 2 years with feedback from 150+ flying units and evaluation by the trainers at the 15</w:t>
      </w:r>
      <w:r w:rsidR="00ED5CD0" w:rsidRPr="00ED5CD0">
        <w:rPr>
          <w:vertAlign w:val="superscript"/>
        </w:rPr>
        <w:t>th</w:t>
      </w:r>
      <w:r w:rsidR="00ED5CD0">
        <w:t xml:space="preserve"> Operational Weather Squadron. Because this was an operational implementation, and not academic, no “white paper” was published.</w:t>
      </w:r>
    </w:p>
    <w:p w14:paraId="4B525F0A" w14:textId="273C2242" w:rsidR="00ED5CD0" w:rsidRDefault="00ED5CD0" w:rsidP="007C1E77">
      <w:r>
        <w:t>I had Google Gemini verify the code against current publications to verify the thresholds are still valid. The code provided is only a portion of the entire system: the full process involves creation of ORM-focused AMSL layers, and the inclusion of the near-surface precipitation conditions for clear icing due to freezing precipitation.</w:t>
      </w:r>
    </w:p>
    <w:p w14:paraId="606C4586" w14:textId="54BABACC" w:rsidR="00ED5CD0" w:rsidRDefault="00ED5CD0" w:rsidP="007C1E77">
      <w:r>
        <w:t>Further research could be performed to reevaluate the thresholds for advection strength (weak, moderate, strong) which did not have published standards back in the mid-2000s.</w:t>
      </w:r>
    </w:p>
    <w:p w14:paraId="138AC7AB" w14:textId="1E96476C" w:rsidR="00ED5CD0" w:rsidRDefault="00ED5CD0" w:rsidP="00ED5CD0">
      <w:pPr>
        <w:pStyle w:val="Heading2"/>
      </w:pPr>
      <w:r>
        <w:t>Visibility Algorithms</w:t>
      </w:r>
    </w:p>
    <w:p w14:paraId="323E1B61" w14:textId="55B42BF3" w:rsidR="00ED5CD0" w:rsidRDefault="00ED5CD0" w:rsidP="00ED5CD0">
      <w:r>
        <w:t xml:space="preserve">The original 1WXG version combined the AFWA “VISION” process and a </w:t>
      </w:r>
      <w:r w:rsidR="00EC0732">
        <w:t>collaboration with Environment Canada based on “</w:t>
      </w:r>
      <w:proofErr w:type="spellStart"/>
      <w:r w:rsidR="00EC0732" w:rsidRPr="00EC0732">
        <w:t>Stoelinga</w:t>
      </w:r>
      <w:proofErr w:type="spellEnd"/>
      <w:r w:rsidR="00EC0732" w:rsidRPr="00EC0732">
        <w:t xml:space="preserve"> and Warner (1999)</w:t>
      </w:r>
      <w:r w:rsidR="00EC0732">
        <w:t>”. VISION has since been abandoned, but other research has captured the ideas of multiple causes for reduced visibility.</w:t>
      </w:r>
    </w:p>
    <w:p w14:paraId="32E43DCD" w14:textId="78989E10" w:rsidR="00EC0732" w:rsidRDefault="00EC0732" w:rsidP="00ED5CD0">
      <w:r>
        <w:t xml:space="preserve">I had Google Gemini analyze my old </w:t>
      </w:r>
      <w:proofErr w:type="gramStart"/>
      <w:r>
        <w:t>code, and</w:t>
      </w:r>
      <w:proofErr w:type="gramEnd"/>
      <w:r>
        <w:t xml:space="preserve"> generate multiple options using the ERA5-Land variables. Those options were then refined into the simple and complex versions provided.</w:t>
      </w:r>
    </w:p>
    <w:p w14:paraId="73529484" w14:textId="651E6E62" w:rsidR="00EC0732" w:rsidRDefault="00EC0732" w:rsidP="00ED5CD0">
      <w:r>
        <w:t>If this was done with a full operational data tesseract, I would dive deeper into the various studies and utilization of the available data.</w:t>
      </w:r>
    </w:p>
    <w:p w14:paraId="7A29F13A" w14:textId="6DAA5F95" w:rsidR="00EC0732" w:rsidRDefault="00EC0732" w:rsidP="00EC0732">
      <w:pPr>
        <w:pStyle w:val="Heading2"/>
      </w:pPr>
      <w:r>
        <w:t>Implementation Thoughts</w:t>
      </w:r>
    </w:p>
    <w:p w14:paraId="78B3709B" w14:textId="7BEB9EB9" w:rsidR="00EC0732" w:rsidRDefault="00EC0732" w:rsidP="00EC0732">
      <w:r>
        <w:t xml:space="preserve">Operationally, I am used to using full “databases” of an entire NWP output. Given such an architecture, I would have </w:t>
      </w:r>
      <w:r w:rsidR="005259E5">
        <w:t>supplemental</w:t>
      </w:r>
      <w:r>
        <w:t xml:space="preserve"> variables such as Theta-E stored </w:t>
      </w:r>
      <w:r w:rsidR="005259E5">
        <w:t>in</w:t>
      </w:r>
      <w:r>
        <w:t xml:space="preserve"> the database for reuse.</w:t>
      </w:r>
    </w:p>
    <w:p w14:paraId="1DB931A0" w14:textId="682631FE" w:rsidR="005259E5" w:rsidRDefault="005259E5" w:rsidP="005259E5">
      <w:pPr>
        <w:pStyle w:val="Heading3"/>
      </w:pPr>
      <w:r>
        <w:lastRenderedPageBreak/>
        <w:t>ETL</w:t>
      </w:r>
    </w:p>
    <w:p w14:paraId="17E4E69E" w14:textId="19351E4A" w:rsidR="005259E5" w:rsidRPr="005259E5" w:rsidRDefault="005259E5" w:rsidP="005259E5">
      <w:r>
        <w:t xml:space="preserve">While utilities such as </w:t>
      </w:r>
      <w:proofErr w:type="spellStart"/>
      <w:r>
        <w:t>xarray</w:t>
      </w:r>
      <w:proofErr w:type="spellEnd"/>
      <w:r>
        <w:t xml:space="preserve"> are useful, I prefer not to blindly rely on their “auto-magic”, as even agencies like ECMWF have errors and gaps in their NetCDF metadata. I prefer to use GRIB-style lookup tables for aliases and standardization of variable names/units based on the agency’s published standards.</w:t>
      </w:r>
    </w:p>
    <w:p w14:paraId="6F5316AA" w14:textId="103200F6" w:rsidR="005259E5" w:rsidRDefault="005259E5" w:rsidP="005259E5">
      <w:pPr>
        <w:pStyle w:val="Heading3"/>
      </w:pPr>
      <w:r>
        <w:t>The Engine</w:t>
      </w:r>
    </w:p>
    <w:p w14:paraId="79C7B504" w14:textId="0C6CB55F" w:rsidR="005259E5" w:rsidRPr="005259E5" w:rsidRDefault="005259E5" w:rsidP="005259E5">
      <w:r>
        <w:t xml:space="preserve">I had Gemini generate the recipe system based on previous systems I used in Visual Weather and the old </w:t>
      </w:r>
      <w:proofErr w:type="spellStart"/>
      <w:r>
        <w:t>Meteostar</w:t>
      </w:r>
      <w:proofErr w:type="spellEnd"/>
      <w:r>
        <w:t xml:space="preserve"> LEADS. </w:t>
      </w:r>
      <w:proofErr w:type="gramStart"/>
      <w:r>
        <w:t>The main difference,</w:t>
      </w:r>
      <w:proofErr w:type="gramEnd"/>
      <w:r>
        <w:t xml:space="preserve"> is in my previous work all secondary and tertiary variables were identified and generated with each model run to streamline the operations.</w:t>
      </w:r>
    </w:p>
    <w:sectPr w:rsidR="005259E5" w:rsidRPr="00525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77"/>
    <w:rsid w:val="004518FA"/>
    <w:rsid w:val="005259E5"/>
    <w:rsid w:val="006A5A38"/>
    <w:rsid w:val="006C0731"/>
    <w:rsid w:val="007C1E77"/>
    <w:rsid w:val="00A46C88"/>
    <w:rsid w:val="00E4458A"/>
    <w:rsid w:val="00EC0732"/>
    <w:rsid w:val="00ED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0AE7"/>
  <w15:chartTrackingRefBased/>
  <w15:docId w15:val="{665A5F7A-BA0B-46DC-ADD6-D1F3F008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1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Wisner</dc:creator>
  <cp:keywords/>
  <dc:description/>
  <cp:lastModifiedBy>Jeff Wisner</cp:lastModifiedBy>
  <cp:revision>1</cp:revision>
  <dcterms:created xsi:type="dcterms:W3CDTF">2026-09-14T14:11:00Z</dcterms:created>
  <dcterms:modified xsi:type="dcterms:W3CDTF">2026-09-14T15:03:00Z</dcterms:modified>
</cp:coreProperties>
</file>