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w:t>
      </w:r>
      <w:hyperlink w:anchor="ref-noauthor_culture_nodate">
        <w:r>
          <w:rPr>
            <w:rStyle w:val="Hyperlink"/>
          </w:rPr>
          <w:t xml:space="preserve">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w:t>
      </w:r>
      <w:r>
        <w:t xml:space="preserve"> </w:t>
      </w:r>
      <w:r>
        <w:t xml:space="preserve">(</w:t>
      </w:r>
      <w:hyperlink w:anchor="ref-noauthor_culture_nodate">
        <w:r>
          <w:rPr>
            <w:rStyle w:val="Hyperlink"/>
          </w:rPr>
          <w:t xml:space="preserve">“Culture –</w:t>
        </w:r>
        <w:r>
          <w:rPr>
            <w:rStyle w:val="Hyperlink"/>
          </w:rPr>
          <w:t xml:space="preserve"> </w:t>
        </w:r>
        <w:r>
          <w:rPr>
            <w:rStyle w:val="Hyperlink"/>
          </w:rPr>
          <w:t xml:space="preserve">MFA</w:t>
        </w:r>
        <w:r>
          <w:rPr>
            <w:rStyle w:val="Hyperlink"/>
          </w:rPr>
          <w:t xml:space="preserve"> </w:t>
        </w:r>
        <w:r>
          <w:rPr>
            <w:rStyle w:val="Hyperlink"/>
          </w:rPr>
          <w:t xml:space="preserve">Press</w:t>
        </w:r>
        <w:r>
          <w:rPr>
            <w:rStyle w:val="Hyperlink"/>
          </w:rPr>
          <w:t xml:space="preserve"> </w:t>
        </w:r>
        <w:r>
          <w:rPr>
            <w:rStyle w:val="Hyperlink"/>
          </w:rPr>
          <w:t xml:space="preserve">Center</w:t>
        </w:r>
        <w:r>
          <w:rPr>
            <w:rStyle w:val="Hyperlink"/>
          </w:rPr>
          <w:t xml:space="preserve">”</w:t>
        </w:r>
        <w:r>
          <w:rPr>
            <w:rStyle w:val="Hyperlink"/>
          </w:rPr>
          <w:t xml:space="preserve"> </w:t>
        </w:r>
        <w:r>
          <w:rPr>
            <w:rStyle w:val="Hyperlink"/>
          </w:rPr>
          <w:t xml:space="preserve">n.d.</w:t>
        </w:r>
      </w:hyperlink>
      <w:r>
        <w:t xml:space="preserve">)</w:t>
      </w:r>
      <w:r>
        <w:t xml:space="preserve">.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Tan and Le (</w:t>
      </w:r>
      <w:hyperlink w:anchor="ref-tan_efficientnet:_2019">
        <w:r>
          <w:rPr>
            <w:rStyle w:val="Hyperlink"/>
          </w:rPr>
          <w:t xml:space="preserve">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w:t>
      </w:r>
    </w:p>
    <w:bookmarkEnd w:id="37"/>
    <w:bookmarkStart w:id="47" w:name="references"/>
    <w:p>
      <w:pPr>
        <w:pStyle w:val="Heading2"/>
      </w:pPr>
      <w:r>
        <w:t xml:space="preserve">References</w:t>
      </w:r>
    </w:p>
    <w:bookmarkStart w:id="46" w:name="refs"/>
    <w:bookmarkStart w:id="39" w:name="ref-noauthor_culture_nodate"/>
    <w:p>
      <w:pPr>
        <w:pStyle w:val="Bibliography"/>
      </w:pP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n.d. Accessed May 31, 2025.</w:t>
      </w:r>
      <w:r>
        <w:t xml:space="preserve"> </w:t>
      </w:r>
      <w:hyperlink r:id="rId38">
        <w:r>
          <w:rPr>
            <w:rStyle w:val="Hyperlink"/>
          </w:rPr>
          <w:t xml:space="preserve">https://foreignaffairs.gov.ng/nigeria/nigeria-culture/</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44">
        <w:r>
          <w:rPr>
            <w:rStyle w:val="Hyperlink"/>
          </w:rPr>
          <w:t xml:space="preserve">https://doi.org/10.48550/ARXIV.1905.11946</w:t>
        </w:r>
      </w:hyperlink>
      <w:r>
        <w:t xml:space="preserve">.</w:t>
      </w:r>
    </w:p>
    <w:bookmarkEnd w:id="45"/>
    <w:bookmarkEnd w:id="46"/>
    <w:bookmarkEnd w:id="47"/>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2025-05-31T23:08:16Z</dcterms:created>
  <dcterms:modified xsi:type="dcterms:W3CDTF">2025-05-31T23:08:16Z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date">
    <vt:lpwstr>2025-06-01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k-bibliography">
    <vt:lpwstr>True</vt:lpwstr>
  </property>
  <property fmtid="{D5CDD505-2E9C-101B-9397-08002B2CF9AE}" pid="19" name="link-citations">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