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 with Point-of-Care Ultrasound for Regional Anaesthesia</w:t>
      </w:r>
    </w:p>
    <w:p>
      <w:pPr>
        <w:pStyle w:val="Author"/>
      </w:pPr>
      <w:r>
        <w:t xml:space="preserve">Residents’ Academic Committee</w:t>
      </w:r>
    </w:p>
    <w:p>
      <w:pPr>
        <w:pStyle w:val="Date"/>
      </w:pPr>
      <w:r>
        <w:t xml:space="preserve">2026-07-20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Ultrasound-guided regional anaesthesia has a real learning curve, most of it around probe handling and needle visualisation rather than anatomy alone. This orientation guide collects a few practical habits that help new operators progress safely and efficiently, framed around the internationally recommended core competencies for training in ultrasound-guided regional anaesthesia, for use alongside — not instead of — supervised, hands-on teaching.</w:t>
      </w:r>
    </w:p>
    <w:p>
      <w:pPr>
        <w:pStyle w:val="FirstParagraph"/>
      </w:pPr>
      <w:r>
        <w:t xml:space="preserve">Departmental guide</w:t>
      </w:r>
    </w:p>
    <w:p>
      <w:pPr>
        <w:pStyle w:val="BodyText"/>
      </w:pPr>
      <w:r>
        <w:t xml:space="preserve">Prepared by the Residents’ Academic Committee</w:t>
      </w:r>
    </w:p>
    <w:p>
      <w:pPr>
        <w:pStyle w:val="BodyText"/>
      </w:pPr>
      <w:r>
        <w:t xml:space="preserve">Department of Anaesthesia and Intensive Care, Aminu Kano Teaching Hospital</w:t>
      </w:r>
    </w:p>
    <w:p>
      <w:pPr>
        <w:pStyle w:val="BodyText"/>
      </w:pPr>
      <w:r>
        <w:rPr>
          <w:b/>
          <w:bCs/>
        </w:rPr>
        <w:t xml:space="preserve">Summary.</w:t>
      </w:r>
      <w:r>
        <w:t xml:space="preserve"> </w:t>
      </w:r>
      <w:r>
        <w:t xml:space="preserve">Ultrasound-guided regional anaesthesia has a real learning</w:t>
      </w:r>
      <w:r>
        <w:t xml:space="preserve"> </w:t>
      </w:r>
      <w:r>
        <w:t xml:space="preserve">curve, most of it around probe handling and needle visualisation rather</w:t>
      </w:r>
      <w:r>
        <w:t xml:space="preserve"> </w:t>
      </w:r>
      <w:r>
        <w:t xml:space="preserve">than anatomy alone. This orientation guide collects a few practical habits</w:t>
      </w:r>
      <w:r>
        <w:t xml:space="preserve"> </w:t>
      </w:r>
      <w:r>
        <w:t xml:space="preserve">that help new operators progress safely and efficiently, for use</w:t>
      </w:r>
      <w:r>
        <w:t xml:space="preserve"> </w:t>
      </w:r>
      <w:r>
        <w:t xml:space="preserve">alongside — not instead of — supervised, hands-on teaching.</w:t>
      </w:r>
    </w:p>
    <w:p>
      <w:pPr>
        <w:pStyle w:val="BodyText"/>
      </w:pPr>
      <w:r>
        <w:t xml:space="preserve">KEYWORDS · REGIONAL ANAESTHESIA · ULTRASOUND · NERVE BLOCKS · TRAINING</w:t>
      </w:r>
    </w:p>
    <w:bookmarkStart w:id="9" w:name="probe-selection"/>
    <w:p>
      <w:pPr>
        <w:pStyle w:val="Heading2"/>
      </w:pPr>
      <w:r>
        <w:t xml:space="preserve">1 Probe selection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 (high-frequency) probes</w:t>
      </w:r>
      <w:r>
        <w:t xml:space="preserve"> </w:t>
      </w:r>
      <w:r>
        <w:t xml:space="preserve">— best for superficial structures</w:t>
      </w:r>
      <w:r>
        <w:t xml:space="preserve"> </w:t>
      </w:r>
      <w:r>
        <w:t xml:space="preserve">(nerves within ~4 cm), such as interscalene, supraclavicular, and</w:t>
      </w:r>
      <w:r>
        <w:t xml:space="preserve"> </w:t>
      </w:r>
      <w:r>
        <w:t xml:space="preserve">forearm blocks. Better resolution, less penetration.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Curvilinear (low-frequency) probes</w:t>
      </w:r>
      <w:r>
        <w:t xml:space="preserve"> </w:t>
      </w:r>
      <w:r>
        <w:t xml:space="preserve">— needed for deeper structures,</w:t>
      </w:r>
      <w:r>
        <w:t xml:space="preserve"> </w:t>
      </w:r>
      <w:r>
        <w:t xml:space="preserve">such as the sciatic nerve at the gluteal level or in larger patients.</w:t>
      </w:r>
    </w:p>
    <w:bookmarkEnd w:id="9"/>
    <w:bookmarkStart w:id="10" w:name="needle-visualisation"/>
    <w:p>
      <w:pPr>
        <w:pStyle w:val="Heading2"/>
      </w:pPr>
      <w:r>
        <w:t xml:space="preserve">2 Needle visualisation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In-plane technique</w:t>
      </w:r>
      <w:r>
        <w:t xml:space="preserve"> </w:t>
      </w:r>
      <w:r>
        <w:t xml:space="preserve">keeps the entire needle shaft visible along the</w:t>
      </w:r>
      <w:r>
        <w:t xml:space="preserve"> </w:t>
      </w:r>
      <w:r>
        <w:t xml:space="preserve">probe’s long axis — generally the easier technique to learn first, as</w:t>
      </w:r>
      <w:r>
        <w:t xml:space="preserve"> </w:t>
      </w:r>
      <w:r>
        <w:t xml:space="preserve">the needle tip position is continuously seen.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Out-of-plane technique</w:t>
      </w:r>
      <w:r>
        <w:t xml:space="preserve"> </w:t>
      </w:r>
      <w:r>
        <w:t xml:space="preserve">shows the needle only as a bright dot</w:t>
      </w:r>
      <w:r>
        <w:t xml:space="preserve"> </w:t>
      </w:r>
      <w:r>
        <w:t xml:space="preserve">crossing the beam — faster for some experienced operators, but easier</w:t>
      </w:r>
      <w:r>
        <w:t xml:space="preserve"> </w:t>
      </w:r>
      <w:r>
        <w:t xml:space="preserve">to lose track of the tip as a beginner.</w:t>
      </w:r>
    </w:p>
    <w:p>
      <w:pPr>
        <w:pStyle w:val="Compact"/>
        <w:numPr>
          <w:ilvl w:val="0"/>
          <w:numId w:val="1002"/>
        </w:numPr>
      </w:pPr>
      <w:r>
        <w:t xml:space="preserve">Small, deliberate needle movements — rather than large sweeps — make it</w:t>
      </w:r>
      <w:r>
        <w:t xml:space="preserve"> </w:t>
      </w:r>
      <w:r>
        <w:t xml:space="preserve">far easier to keep the tip in view.</w:t>
      </w:r>
    </w:p>
    <w:bookmarkEnd w:id="10"/>
    <w:bookmarkStart w:id="11" w:name="common-early-pitfalls"/>
    <w:p>
      <w:pPr>
        <w:pStyle w:val="Heading2"/>
      </w:pPr>
      <w:r>
        <w:t xml:space="preserve">3 Common early pitfalls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Chasing the needle with the probe</w:t>
      </w:r>
      <w:r>
        <w:t xml:space="preserve"> </w:t>
      </w:r>
      <w:r>
        <w:t xml:space="preserve">instead of keeping the probe</w:t>
      </w:r>
      <w:r>
        <w:t xml:space="preserve"> </w:t>
      </w:r>
      <w:r>
        <w:t xml:space="preserve">still and adjusting the needle trajectory — this usually makes tip</w:t>
      </w:r>
      <w:r>
        <w:t xml:space="preserve"> </w:t>
      </w:r>
      <w:r>
        <w:t xml:space="preserve">tracking worse, not better.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Mistaking the needle shadow for the tip</w:t>
      </w:r>
      <w:r>
        <w:t xml:space="preserve"> </w:t>
      </w:r>
      <w:r>
        <w:t xml:space="preserve">— the brightest point on</w:t>
      </w:r>
      <w:r>
        <w:t xml:space="preserve"> </w:t>
      </w:r>
      <w:r>
        <w:t xml:space="preserve">screen is not always the true tip; small in-and-out jiggles or a burst</w:t>
      </w:r>
      <w:r>
        <w:t xml:space="preserve"> </w:t>
      </w:r>
      <w:r>
        <w:t xml:space="preserve">of local anaesthetic (hydrolocation) can help confirm true tip</w:t>
      </w:r>
      <w:r>
        <w:t xml:space="preserve"> </w:t>
      </w:r>
      <w:r>
        <w:t xml:space="preserve">position.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Poor gel contact</w:t>
      </w:r>
      <w:r>
        <w:t xml:space="preserve"> </w:t>
      </w:r>
      <w:r>
        <w:t xml:space="preserve">at the probe edges, distorting the image exactly</w:t>
      </w:r>
      <w:r>
        <w:t xml:space="preserve"> </w:t>
      </w:r>
      <w:r>
        <w:t xml:space="preserve">where the needle is entering.</w:t>
      </w:r>
    </w:p>
    <w:bookmarkEnd w:id="11"/>
    <w:bookmarkStart w:id="12" w:name="Xc6d0a043cb74b41c2c27ede84ea407942f3dc25"/>
    <w:p>
      <w:pPr>
        <w:pStyle w:val="Heading2"/>
      </w:pPr>
      <w:r>
        <w:t xml:space="preserve">4 Grounding this in the wider training literature</w:t>
      </w:r>
    </w:p>
    <w:p>
      <w:pPr>
        <w:pStyle w:val="FirstParagraph"/>
      </w:pPr>
      <w:r>
        <w:t xml:space="preserve">This orientation guide is meant as a first-days primer, not a substitute</w:t>
      </w:r>
      <w:r>
        <w:t xml:space="preserve"> </w:t>
      </w:r>
      <w:r>
        <w:t xml:space="preserve">for a structured training pathway. The joint ASRA/ESRA committee</w:t>
      </w:r>
      <w:r>
        <w:t xml:space="preserve"> </w:t>
      </w:r>
      <w:r>
        <w:t xml:space="preserve">recommendations describe a full residency- and fellowship-based training</w:t>
      </w:r>
      <w:r>
        <w:t xml:space="preserve"> </w:t>
      </w:r>
      <w:r>
        <w:t xml:space="preserve">pathway for ultrasound-guided regional anaesthesia, including the core</w:t>
      </w:r>
      <w:r>
        <w:t xml:space="preserve"> </w:t>
      </w:r>
      <w:r>
        <w:t xml:space="preserve">technical competencies and the didactic and experiential components</w:t>
      </w:r>
      <w:r>
        <w:t xml:space="preserve"> </w:t>
      </w:r>
      <w:r>
        <w:t xml:space="preserve">expected before independent practice</w:t>
      </w:r>
      <w:r>
        <w:t xml:space="preserve"> </w:t>
      </w:r>
      <w:r>
        <w:t xml:space="preserve">(Sites et al. 2009)</w:t>
      </w:r>
      <w:r>
        <w:t xml:space="preserve"> </w:t>
      </w:r>
      <w:r>
        <w:t xml:space="preserve">— residents</w:t>
      </w:r>
      <w:r>
        <w:t xml:space="preserve"> </w:t>
      </w:r>
      <w:r>
        <w:t xml:space="preserve">progressing beyond this primer should be familiar with that pathway.</w:t>
      </w:r>
    </w:p>
    <w:bookmarkEnd w:id="12"/>
    <w:bookmarkStart w:id="13" w:name="using-this-guide"/>
    <w:p>
      <w:pPr>
        <w:pStyle w:val="Heading2"/>
      </w:pPr>
      <w:r>
        <w:t xml:space="preserve">5 Using this guide</w:t>
      </w:r>
    </w:p>
    <w:p>
      <w:pPr>
        <w:pStyle w:val="FirstParagraph"/>
      </w:pPr>
      <w:r>
        <w:t xml:space="preserve">This is an orientation aid, not a replacement for supervised practice.</w:t>
      </w:r>
      <w:r>
        <w:t xml:space="preserve"> </w:t>
      </w:r>
      <w:r>
        <w:t xml:space="preserve">Residents should complete ultrasound-guided blocks under direct</w:t>
      </w:r>
      <w:r>
        <w:t xml:space="preserve"> </w:t>
      </w:r>
      <w:r>
        <w:t xml:space="preserve">consultant supervision until independently competent, per departmental</w:t>
      </w:r>
      <w:r>
        <w:t xml:space="preserve"> </w:t>
      </w:r>
      <w:r>
        <w:t xml:space="preserve">training requirements.</w:t>
      </w:r>
    </w:p>
    <w:p>
      <w:pPr>
        <w:pStyle w:val="BodyText"/>
      </w:pPr>
      <w:r>
        <w:rPr>
          <w:i/>
          <w:iCs/>
        </w:rPr>
        <w:t xml:space="preserve">Have a guide, protocol summary, or teaching resource to contribute? Email</w:t>
      </w:r>
      <w:r>
        <w:rPr>
          <w:i/>
          <w:iCs/>
        </w:rPr>
        <w:t xml:space="preserve"> </w:t>
      </w:r>
      <w:r>
        <w:rPr>
          <w:i/>
          <w:iCs/>
        </w:rPr>
        <w:t xml:space="preserve">the department to have it added here.</w:t>
      </w:r>
    </w:p>
    <w:bookmarkEnd w:id="13"/>
    <w:bookmarkStart w:id="17" w:name="references"/>
    <w:p>
      <w:pPr>
        <w:pStyle w:val="Heading2"/>
      </w:pPr>
      <w:r>
        <w:t xml:space="preserve">6 References</w:t>
      </w:r>
    </w:p>
    <w:bookmarkStart w:id="16" w:name="refs"/>
    <w:bookmarkStart w:id="15" w:name="ref-sites2009asraesra"/>
    <w:p>
      <w:pPr>
        <w:pStyle w:val="Bibliography"/>
      </w:pPr>
      <w:r>
        <w:t xml:space="preserve">Sites, Brian D., Vincent W. Chan, Joseph M. Neal, et al. 2009.</w:t>
      </w:r>
      <w:r>
        <w:t xml:space="preserve"> </w:t>
      </w:r>
      <w:r>
        <w:t xml:space="preserve">“The</w:t>
      </w:r>
      <w:r>
        <w:t xml:space="preserve"> </w:t>
      </w:r>
      <w:r>
        <w:t xml:space="preserve">American</w:t>
      </w:r>
      <w:r>
        <w:t xml:space="preserve"> </w:t>
      </w:r>
      <w:r>
        <w:t xml:space="preserve">Society</w:t>
      </w:r>
      <w:r>
        <w:t xml:space="preserve"> </w:t>
      </w:r>
      <w:r>
        <w:t xml:space="preserve">of</w:t>
      </w:r>
      <w:r>
        <w:t xml:space="preserve"> </w:t>
      </w:r>
      <w:r>
        <w:t xml:space="preserve">Regional</w:t>
      </w:r>
      <w:r>
        <w:t xml:space="preserve"> </w:t>
      </w:r>
      <w:r>
        <w:t xml:space="preserve">Anesthesia</w:t>
      </w:r>
      <w:r>
        <w:t xml:space="preserve"> </w:t>
      </w:r>
      <w:r>
        <w:t xml:space="preserve">and</w:t>
      </w:r>
      <w:r>
        <w:t xml:space="preserve"> </w:t>
      </w:r>
      <w:r>
        <w:t xml:space="preserve">Pain</w:t>
      </w:r>
      <w:r>
        <w:t xml:space="preserve"> </w:t>
      </w:r>
      <w:r>
        <w:t xml:space="preserve">Medicine</w:t>
      </w:r>
      <w:r>
        <w:t xml:space="preserve"> </w:t>
      </w:r>
      <w:r>
        <w:t xml:space="preserve">and the</w:t>
      </w:r>
      <w:r>
        <w:t xml:space="preserve"> </w:t>
      </w:r>
      <w:r>
        <w:t xml:space="preserve">European</w:t>
      </w:r>
      <w:r>
        <w:t xml:space="preserve"> </w:t>
      </w:r>
      <w:r>
        <w:t xml:space="preserve">Society</w:t>
      </w:r>
      <w:r>
        <w:t xml:space="preserve"> </w:t>
      </w:r>
      <w:r>
        <w:t xml:space="preserve">of</w:t>
      </w:r>
      <w:r>
        <w:t xml:space="preserve"> </w:t>
      </w:r>
      <w:r>
        <w:t xml:space="preserve">Regional</w:t>
      </w:r>
      <w:r>
        <w:t xml:space="preserve"> </w:t>
      </w:r>
      <w:r>
        <w:t xml:space="preserve">Anaesthesia</w:t>
      </w:r>
      <w:r>
        <w:t xml:space="preserve"> </w:t>
      </w:r>
      <w:r>
        <w:t xml:space="preserve">and</w:t>
      </w:r>
      <w:r>
        <w:t xml:space="preserve"> </w:t>
      </w:r>
      <w:r>
        <w:t xml:space="preserve">Pain</w:t>
      </w:r>
      <w:r>
        <w:t xml:space="preserve"> </w:t>
      </w:r>
      <w:r>
        <w:t xml:space="preserve">Therapy</w:t>
      </w:r>
      <w:r>
        <w:t xml:space="preserve"> </w:t>
      </w:r>
      <w:r>
        <w:t xml:space="preserve">Joint Committee Recommendations for Education and Training in Ultrasound-Guided Regional Anesthesia.”</w:t>
      </w:r>
      <w:r>
        <w:t xml:space="preserve"> </w:t>
      </w:r>
      <w:r>
        <w:rPr>
          <w:i/>
          <w:iCs/>
        </w:rPr>
        <w:t xml:space="preserve">Regional Anesthesia and Pain Medicine</w:t>
      </w:r>
      <w:r>
        <w:t xml:space="preserve"> </w:t>
      </w:r>
      <w:r>
        <w:t xml:space="preserve">34 (1): 40–46.</w:t>
      </w:r>
      <w:r>
        <w:t xml:space="preserve"> </w:t>
      </w:r>
      <w:hyperlink r:id="rId14">
        <w:r>
          <w:rPr>
            <w:rStyle w:val="Hyperlink"/>
          </w:rPr>
          <w:t xml:space="preserve">https://doi.org/10.1097/AAP.0b013e3181926779</w:t>
        </w:r>
      </w:hyperlink>
      <w:r>
        <w:t xml:space="preserve">.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https://doi.org/10.1097/AAP.0b013e318192677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doi.org/10.1097/AAP.0b013e318192677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 with Point-of-Care Ultrasound for Regional Anaesthesia</dc:title>
  <dc:creator>Residents’ Academic Committee</dc:creator>
  <dc:description>An orientation guide for residents beginning ultrasound-guided regional blocks — probe selection, needle visualisation, and common pitfalls.</dc:description>
  <cp:keywords>regional anaesthesia, ultrasound, nerve blocks, training</cp:keywords>
  <dcterms:created xsi:type="dcterms:W3CDTF">2026-09-10T14:37:36Z</dcterms:created>
  <dcterms:modified xsi:type="dcterms:W3CDTF">2026-09-10T14:37:36Z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Ultrasound-guided regional anaesthesia has a real learning curve, most of it around probe handling and needle visualisation rather than anatomy alone. This orientation guide collects a few practical habits that help new operators progress safely and efficiently, framed around the internationally recommended core competencies for training in ultrasound-guided regional anaesthesia, for use alongside — not instead of — supervised, hands-on teaching.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rand">
    <vt:lpwstr/>
  </property>
  <property fmtid="{D5CDD505-2E9C-101B-9397-08002B2CF9AE}" pid="8" name="by-affiliation">
    <vt:lpwstr/>
  </property>
  <property fmtid="{D5CDD505-2E9C-101B-9397-08002B2CF9AE}" pid="9" name="by-author">
    <vt:lpwstr/>
  </property>
  <property fmtid="{D5CDD505-2E9C-101B-9397-08002B2CF9AE}" pid="10" name="categories">
    <vt:lpwstr/>
  </property>
  <property fmtid="{D5CDD505-2E9C-101B-9397-08002B2CF9AE}" pid="11" name="citation">
    <vt:lpwstr/>
  </property>
  <property fmtid="{D5CDD505-2E9C-101B-9397-08002B2CF9AE}" pid="12" name="copyright">
    <vt:lpwstr/>
  </property>
  <property fmtid="{D5CDD505-2E9C-101B-9397-08002B2CF9AE}" pid="13" name="date">
    <vt:lpwstr>2026-07-20</vt:lpwstr>
  </property>
  <property fmtid="{D5CDD505-2E9C-101B-9397-08002B2CF9AE}" pid="14" name="department">
    <vt:lpwstr>Anaesthesia and Intensive Care</vt:lpwstr>
  </property>
  <property fmtid="{D5CDD505-2E9C-101B-9397-08002B2CF9AE}" pid="15" name="header-includes">
    <vt:lpwstr/>
  </property>
  <property fmtid="{D5CDD505-2E9C-101B-9397-08002B2CF9AE}" pid="16" name="image">
    <vt:lpwstr>cover.svg</vt:lpwstr>
  </property>
  <property fmtid="{D5CDD505-2E9C-101B-9397-08002B2CF9AE}" pid="17" name="include-after">
    <vt:lpwstr/>
  </property>
  <property fmtid="{D5CDD505-2E9C-101B-9397-08002B2CF9AE}" pid="18" name="include-before">
    <vt:lpwstr/>
  </property>
  <property fmtid="{D5CDD505-2E9C-101B-9397-08002B2CF9AE}" pid="19" name="institute">
    <vt:lpwstr>Department of Anaesthesia and Intensive Care, Aminu Kano Teaching Hospital</vt:lpwstr>
  </property>
  <property fmtid="{D5CDD505-2E9C-101B-9397-08002B2CF9AE}" pid="20" name="institutes">
    <vt:lpwstr/>
  </property>
  <property fmtid="{D5CDD505-2E9C-101B-9397-08002B2CF9AE}" pid="21" name="labels">
    <vt:lpwstr/>
  </property>
  <property fmtid="{D5CDD505-2E9C-101B-9397-08002B2CF9AE}" pid="22" name="license">
    <vt:lpwstr/>
  </property>
  <property fmtid="{D5CDD505-2E9C-101B-9397-08002B2CF9AE}" pid="23" name="publisher">
    <vt:lpwstr/>
  </property>
  <property fmtid="{D5CDD505-2E9C-101B-9397-08002B2CF9AE}" pid="24" name="reading-time">
    <vt:lpwstr>True</vt:lpwstr>
  </property>
  <property fmtid="{D5CDD505-2E9C-101B-9397-08002B2CF9AE}" pid="25" name="toc-title">
    <vt:lpwstr>Table of contents</vt:lpwstr>
  </property>
</Properties>
</file>