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 Practical Guide to Theatre-to-ICU Obstetric Handover</w:t>
      </w:r>
    </w:p>
    <w:p>
      <w:pPr>
        <w:pStyle w:val="Author"/>
      </w:pPr>
      <w:r>
        <w:t xml:space="preserve">Residents’ Academic Committee</w:t>
      </w:r>
    </w:p>
    <w:p>
      <w:pPr>
        <w:pStyle w:val="Date"/>
      </w:pPr>
      <w:r>
        <w:t xml:space="preserve">2026-06-02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Handover between theatre and the intensive care unit is a recognised point of risk, particularly for obstetric patients who may have ongoing haemorrhage risk, pre-eclampsia, or cardiovascular instability. This guide sets out a structured, repeatable handover sequence intended for use by residents rotating between obstetric theatre and the ICU, drawing on the wider patient-safety-checklist literature.</w:t>
      </w:r>
    </w:p>
    <w:p>
      <w:pPr>
        <w:pStyle w:val="FirstParagraph"/>
      </w:pPr>
      <w:r>
        <w:t xml:space="preserve">Departmental guide</w:t>
      </w:r>
    </w:p>
    <w:p>
      <w:pPr>
        <w:pStyle w:val="BodyText"/>
      </w:pPr>
      <w:r>
        <w:t xml:space="preserve">Prepared by the Residents’ Academic Committee</w:t>
      </w:r>
    </w:p>
    <w:p>
      <w:pPr>
        <w:pStyle w:val="BodyText"/>
      </w:pPr>
      <w:r>
        <w:t xml:space="preserve">Department of Anaesthesia and Intensive Care, Aminu Kano Teaching Hospital</w:t>
      </w:r>
    </w:p>
    <w:p>
      <w:pPr>
        <w:pStyle w:val="BodyText"/>
      </w:pPr>
      <w:r>
        <w:rPr>
          <w:b/>
          <w:bCs/>
        </w:rPr>
        <w:t xml:space="preserve">Summary.</w:t>
      </w:r>
      <w:r>
        <w:t xml:space="preserve"> </w:t>
      </w:r>
      <w:r>
        <w:t xml:space="preserve">Handover between theatre and the intensive care unit is a</w:t>
      </w:r>
      <w:r>
        <w:t xml:space="preserve"> </w:t>
      </w:r>
      <w:r>
        <w:t xml:space="preserve">recognised point of risk, particularly for obstetric patients who may</w:t>
      </w:r>
      <w:r>
        <w:t xml:space="preserve"> </w:t>
      </w:r>
      <w:r>
        <w:t xml:space="preserve">have ongoing haemorrhage risk, pre-eclampsia, or cardiovascular</w:t>
      </w:r>
      <w:r>
        <w:t xml:space="preserve"> </w:t>
      </w:r>
      <w:r>
        <w:t xml:space="preserve">instability. This guide sets out a structured, repeatable handover</w:t>
      </w:r>
      <w:r>
        <w:t xml:space="preserve"> </w:t>
      </w:r>
      <w:r>
        <w:t xml:space="preserve">sequence intended for use by residents rotating between obstetric theatre</w:t>
      </w:r>
      <w:r>
        <w:t xml:space="preserve"> </w:t>
      </w:r>
      <w:r>
        <w:t xml:space="preserve">and the ICU.</w:t>
      </w:r>
    </w:p>
    <w:p>
      <w:pPr>
        <w:pStyle w:val="BodyText"/>
      </w:pPr>
      <w:r>
        <w:t xml:space="preserve">KEYWORDS · HANDOVER · OBSTETRIC ANAESTHESIA · PATIENT SAFETY · ICU ADMISSION</w:t>
      </w:r>
    </w:p>
    <w:bookmarkStart w:id="9" w:name="why-a-structured-handover-matters"/>
    <w:p>
      <w:pPr>
        <w:pStyle w:val="Heading2"/>
      </w:pPr>
      <w:r>
        <w:t xml:space="preserve">1 Why a structured handover matters</w:t>
      </w:r>
    </w:p>
    <w:p>
      <w:pPr>
        <w:pStyle w:val="FirstParagraph"/>
      </w:pPr>
      <w:r>
        <w:t xml:space="preserve">Verbal handovers that aren’t structured tend to omit items unpredictably —</w:t>
      </w:r>
      <w:r>
        <w:t xml:space="preserve"> </w:t>
      </w:r>
      <w:r>
        <w:t xml:space="preserve">often exactly the detail that matters for the next few hours of care. A</w:t>
      </w:r>
      <w:r>
        <w:t xml:space="preserve"> </w:t>
      </w:r>
      <w:r>
        <w:t xml:space="preserve">short, consistent structure reduces that risk without adding much time to</w:t>
      </w:r>
      <w:r>
        <w:t xml:space="preserve"> </w:t>
      </w:r>
      <w:r>
        <w:t xml:space="preserve">a busy transfer. This mirrors the logic behind the WHO Surgical Safety</w:t>
      </w:r>
      <w:r>
        <w:t xml:space="preserve"> </w:t>
      </w:r>
      <w:r>
        <w:t xml:space="preserve">Checklist, which was shown to reduce post-operative morbidity and</w:t>
      </w:r>
      <w:r>
        <w:t xml:space="preserve"> </w:t>
      </w:r>
      <w:r>
        <w:t xml:space="preserve">mortality across a range of hospital settings when used consistently</w:t>
      </w:r>
      <w:r>
        <w:t xml:space="preserve"> </w:t>
      </w:r>
      <w:r>
        <w:t xml:space="preserve">(Haynes et al. 2009; Safe Surgery Saves Lives Study Group 2009)</w:t>
      </w:r>
      <w:r>
        <w:t xml:space="preserve">.</w:t>
      </w:r>
    </w:p>
    <w:bookmarkEnd w:id="9"/>
    <w:bookmarkStart w:id="10" w:name="suggested-handover-structure"/>
    <w:p>
      <w:pPr>
        <w:pStyle w:val="Heading2"/>
      </w:pPr>
      <w:r>
        <w:t xml:space="preserve">2 Suggested handover structure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Patient identification &amp; background</w:t>
      </w:r>
      <w:r>
        <w:t xml:space="preserve"> </w:t>
      </w:r>
      <w:r>
        <w:t xml:space="preserve">— name, age, parity, key</w:t>
      </w:r>
      <w:r>
        <w:t xml:space="preserve"> </w:t>
      </w:r>
      <w:r>
        <w:t xml:space="preserve">obstetric history, indication for surgery.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Procedure performed</w:t>
      </w:r>
      <w:r>
        <w:t xml:space="preserve"> </w:t>
      </w:r>
      <w:r>
        <w:t xml:space="preserve">— type of anaesthesia, surgical procedure,</w:t>
      </w:r>
      <w:r>
        <w:t xml:space="preserve"> </w:t>
      </w:r>
      <w:r>
        <w:t xml:space="preserve">any intra-operative complications.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Haemodynamic course</w:t>
      </w:r>
      <w:r>
        <w:t xml:space="preserve"> </w:t>
      </w:r>
      <w:r>
        <w:t xml:space="preserve">— blood loss, fluids and blood products given,</w:t>
      </w:r>
      <w:r>
        <w:t xml:space="preserve"> </w:t>
      </w:r>
      <w:r>
        <w:t xml:space="preserve">vasopressor use, any instability and how it was managed.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Airway and respiratory status</w:t>
      </w:r>
      <w:r>
        <w:t xml:space="preserve"> </w:t>
      </w:r>
      <w:r>
        <w:t xml:space="preserve">— extubation status, oxygen</w:t>
      </w:r>
      <w:r>
        <w:t xml:space="preserve"> </w:t>
      </w:r>
      <w:r>
        <w:t xml:space="preserve">requirement, any airway concerns for the ICU team to be aware of.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Analgesia plan</w:t>
      </w:r>
      <w:r>
        <w:t xml:space="preserve"> </w:t>
      </w:r>
      <w:r>
        <w:t xml:space="preserve">— what has been given, what is prescribed next, and</w:t>
      </w:r>
      <w:r>
        <w:t xml:space="preserve"> </w:t>
      </w:r>
      <w:r>
        <w:t xml:space="preserve">any regional technique in place (e.g. spinal opioid, wound catheter).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Outstanding concerns and thresholds for escalation</w:t>
      </w:r>
      <w:r>
        <w:t xml:space="preserve"> </w:t>
      </w:r>
      <w:r>
        <w:t xml:space="preserve">— specifically</w:t>
      </w:r>
      <w:r>
        <w:t xml:space="preserve"> </w:t>
      </w:r>
      <w:r>
        <w:t xml:space="preserve">what should prompt the ICU team to call anaesthesia back.</w:t>
      </w:r>
    </w:p>
    <w:bookmarkEnd w:id="10"/>
    <w:bookmarkStart w:id="11" w:name="using-this-guide"/>
    <w:p>
      <w:pPr>
        <w:pStyle w:val="Heading2"/>
      </w:pPr>
      <w:r>
        <w:t xml:space="preserve">3 Using this guide</w:t>
      </w:r>
    </w:p>
    <w:p>
      <w:pPr>
        <w:pStyle w:val="FirstParagraph"/>
      </w:pPr>
      <w:r>
        <w:t xml:space="preserve">This is a teaching resource for residents, not a substitute for local</w:t>
      </w:r>
      <w:r>
        <w:t xml:space="preserve"> </w:t>
      </w:r>
      <w:r>
        <w:t xml:space="preserve">protocol. Departments should adapt the sequence to match their own</w:t>
      </w:r>
      <w:r>
        <w:t xml:space="preserve"> </w:t>
      </w:r>
      <w:r>
        <w:t xml:space="preserve">documentation and handover tools, and residents should confirm current</w:t>
      </w:r>
      <w:r>
        <w:t xml:space="preserve"> </w:t>
      </w:r>
      <w:r>
        <w:t xml:space="preserve">local practice with their supervising consultant.</w:t>
      </w:r>
    </w:p>
    <w:p>
      <w:pPr>
        <w:pStyle w:val="BodyText"/>
      </w:pPr>
      <w:r>
        <w:rPr>
          <w:i/>
          <w:iCs/>
        </w:rPr>
        <w:t xml:space="preserve">Have a guide, protocol summary, or teaching resource to contribute? Email</w:t>
      </w:r>
      <w:r>
        <w:rPr>
          <w:i/>
          <w:iCs/>
        </w:rPr>
        <w:t xml:space="preserve"> </w:t>
      </w:r>
      <w:r>
        <w:rPr>
          <w:i/>
          <w:iCs/>
        </w:rPr>
        <w:t xml:space="preserve">the department to have it added here.</w:t>
      </w:r>
    </w:p>
    <w:bookmarkEnd w:id="11"/>
    <w:bookmarkStart w:id="17" w:name="references"/>
    <w:p>
      <w:pPr>
        <w:pStyle w:val="Heading2"/>
      </w:pPr>
      <w:r>
        <w:t xml:space="preserve">4 References</w:t>
      </w:r>
    </w:p>
    <w:bookmarkStart w:id="16" w:name="refs"/>
    <w:bookmarkStart w:id="13" w:name="ref-haynes2009checklist"/>
    <w:p>
      <w:pPr>
        <w:pStyle w:val="Bibliography"/>
      </w:pPr>
      <w:r>
        <w:t xml:space="preserve">Haynes, Alex B., Thomas G. Weiser, William R. Berry, et al. 2009.</w:t>
      </w:r>
      <w:r>
        <w:t xml:space="preserve"> </w:t>
      </w:r>
      <w:r>
        <w:t xml:space="preserve">“A Surgical Safety Checklist to Reduce Morbidity and Mortality in a Global Population.”</w:t>
      </w:r>
      <w:r>
        <w:t xml:space="preserve"> </w:t>
      </w:r>
      <w:r>
        <w:rPr>
          <w:i/>
          <w:iCs/>
        </w:rPr>
        <w:t xml:space="preserve">New England Journal of Medicine</w:t>
      </w:r>
      <w:r>
        <w:t xml:space="preserve"> </w:t>
      </w:r>
      <w:r>
        <w:t xml:space="preserve">360 (5): 491–99.</w:t>
      </w:r>
      <w:r>
        <w:t xml:space="preserve"> </w:t>
      </w:r>
      <w:hyperlink r:id="rId12">
        <w:r>
          <w:rPr>
            <w:rStyle w:val="Hyperlink"/>
          </w:rPr>
          <w:t xml:space="preserve">https://doi.org/10.1056/NEJMsa0810119</w:t>
        </w:r>
      </w:hyperlink>
      <w:r>
        <w:t xml:space="preserve">.</w:t>
      </w:r>
    </w:p>
    <w:bookmarkEnd w:id="13"/>
    <w:bookmarkStart w:id="15" w:name="ref-who2009safesurgery"/>
    <w:p>
      <w:pPr>
        <w:pStyle w:val="Bibliography"/>
      </w:pPr>
      <w:r>
        <w:t xml:space="preserve">Safe Surgery Saves Lives Study Group. 2009.</w:t>
      </w:r>
      <w:r>
        <w:t xml:space="preserve"> </w:t>
      </w:r>
      <w:r>
        <w:rPr>
          <w:i/>
          <w:iCs/>
        </w:rPr>
        <w:t xml:space="preserve">WHO Guidelines for Safe Surgery 2009: Safe Surgery Saves Lives</w:t>
      </w:r>
      <w:r>
        <w:t xml:space="preserve">. World Health Organization.</w:t>
      </w:r>
      <w:r>
        <w:t xml:space="preserve"> </w:t>
      </w:r>
      <w:hyperlink r:id="rId14">
        <w:r>
          <w:rPr>
            <w:rStyle w:val="Hyperlink"/>
          </w:rPr>
          <w:t xml:space="preserve">https://www.who.int/publications/i/item/9789241598552</w:t>
        </w:r>
      </w:hyperlink>
      <w:r>
        <w:t xml:space="preserve">.</w:t>
      </w:r>
    </w:p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doi.org/10.1056/NEJMsa0810119" TargetMode="External" /><Relationship Type="http://schemas.openxmlformats.org/officeDocument/2006/relationships/hyperlink" Id="rId14" Target="https://www.who.int/publications/i/item/978924159855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doi.org/10.1056/NEJMsa0810119" TargetMode="External" /><Relationship Type="http://schemas.openxmlformats.org/officeDocument/2006/relationships/hyperlink" Id="rId14" Target="https://www.who.int/publications/i/item/978924159855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Practical Guide to Theatre-to-ICU Obstetric Handover</dc:title>
  <dc:creator>Residents’ Academic Committee</dc:creator>
  <dc:description>A structured handover guide for residents, covering what to communicate when transferring a peri-operative obstetric patient to critical care.</dc:description>
  <cp:keywords>handover, obstetric anaesthesia, patient safety, ICU admission</cp:keywords>
  <dcterms:created xsi:type="dcterms:W3CDTF">2026-09-10T13:58:35Z</dcterms:created>
  <dcterms:modified xsi:type="dcterms:W3CDTF">2026-09-10T13:58:35Z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Handover between theatre and the intensive care unit is a recognised point of risk, particularly for obstetric patients who may have ongoing haemorrhage risk, pre-eclampsia, or cardiovascular instability. This guide sets out a structured, repeatable handover sequence intended for use by residents rotating between obstetric theatre and the ICU, drawing on the wider patient-safety-checklist literature.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/>
  </property>
  <property fmtid="{D5CDD505-2E9C-101B-9397-08002B2CF9AE}" pid="7" name="brand">
    <vt:lpwstr/>
  </property>
  <property fmtid="{D5CDD505-2E9C-101B-9397-08002B2CF9AE}" pid="8" name="by-affiliation">
    <vt:lpwstr/>
  </property>
  <property fmtid="{D5CDD505-2E9C-101B-9397-08002B2CF9AE}" pid="9" name="by-author">
    <vt:lpwstr/>
  </property>
  <property fmtid="{D5CDD505-2E9C-101B-9397-08002B2CF9AE}" pid="10" name="categories">
    <vt:lpwstr/>
  </property>
  <property fmtid="{D5CDD505-2E9C-101B-9397-08002B2CF9AE}" pid="11" name="citation">
    <vt:lpwstr/>
  </property>
  <property fmtid="{D5CDD505-2E9C-101B-9397-08002B2CF9AE}" pid="12" name="copyright">
    <vt:lpwstr/>
  </property>
  <property fmtid="{D5CDD505-2E9C-101B-9397-08002B2CF9AE}" pid="13" name="date">
    <vt:lpwstr>2026-06-02</vt:lpwstr>
  </property>
  <property fmtid="{D5CDD505-2E9C-101B-9397-08002B2CF9AE}" pid="14" name="department">
    <vt:lpwstr>Anaesthesia and Intensive Care</vt:lpwstr>
  </property>
  <property fmtid="{D5CDD505-2E9C-101B-9397-08002B2CF9AE}" pid="15" name="header-includes">
    <vt:lpwstr/>
  </property>
  <property fmtid="{D5CDD505-2E9C-101B-9397-08002B2CF9AE}" pid="16" name="image">
    <vt:lpwstr>cover.svg</vt:lpwstr>
  </property>
  <property fmtid="{D5CDD505-2E9C-101B-9397-08002B2CF9AE}" pid="17" name="include-after">
    <vt:lpwstr/>
  </property>
  <property fmtid="{D5CDD505-2E9C-101B-9397-08002B2CF9AE}" pid="18" name="include-before">
    <vt:lpwstr/>
  </property>
  <property fmtid="{D5CDD505-2E9C-101B-9397-08002B2CF9AE}" pid="19" name="institute">
    <vt:lpwstr>Department of Anaesthesia and Intensive Care, Aminu Kano Teaching Hospital</vt:lpwstr>
  </property>
  <property fmtid="{D5CDD505-2E9C-101B-9397-08002B2CF9AE}" pid="20" name="institutes">
    <vt:lpwstr/>
  </property>
  <property fmtid="{D5CDD505-2E9C-101B-9397-08002B2CF9AE}" pid="21" name="labels">
    <vt:lpwstr/>
  </property>
  <property fmtid="{D5CDD505-2E9C-101B-9397-08002B2CF9AE}" pid="22" name="license">
    <vt:lpwstr/>
  </property>
  <property fmtid="{D5CDD505-2E9C-101B-9397-08002B2CF9AE}" pid="23" name="publisher">
    <vt:lpwstr/>
  </property>
  <property fmtid="{D5CDD505-2E9C-101B-9397-08002B2CF9AE}" pid="24" name="reading-time">
    <vt:lpwstr>True</vt:lpwstr>
  </property>
  <property fmtid="{D5CDD505-2E9C-101B-9397-08002B2CF9AE}" pid="25" name="toc-title">
    <vt:lpwstr>Table of contents</vt:lpwstr>
  </property>
</Properties>
</file>