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Сырой съём импульсной характеристики канала до зачёта кадра</w:t>
      </w:r>
    </w:p>
    <w:p>
      <w:pPr>
        <w:pBdr>
          <w:bottom w:val="single" w:color="889AAB" w:sz="6" w:space="6"/>
        </w:pBdr>
        <w:spacing w:after="240"/>
      </w:pPr>
      <w:r>
        <w:rPr>
          <w:color w:val="444444"/>
          <w:sz w:val="24"/>
          <w:szCs w:val="24"/>
        </w:rPr>
        <w:t xml:space="preserve">Экспериментальная проверка на платформе МКС в интересах проекта обнаружителя СШП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680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Автор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Vagan Sarukhanov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 июля 2026 г.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Платформа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МКС — STM32F411 + 2× DWM1000 (клон YCHIOT DWM1000-SMA rev. 2.0)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работы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Эксперимент завершён; классификация задачи не менялась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RECON_raw_cir_monitor.md, TASK_raw_cir_monitor.md, REPORT_raw_cir_monitor.md, PROTOCOL_SPEC v1.6</w:t>
            </w:r>
          </w:p>
        </w:tc>
      </w:tr>
    </w:tbl>
    <w:p>
      <w:pPr>
        <w:pStyle w:val="Heading1"/>
        <w:spacing w:after="160" w:before="320"/>
      </w:pPr>
      <w:r>
        <w:t xml:space="preserve">1. Постановка задачи</w:t>
      </w:r>
    </w:p>
    <w:p>
      <w:pPr>
        <w:spacing w:after="120"/>
      </w:pPr>
      <w:r>
        <w:t xml:space="preserve">Для будущего пятиканального макета-обнаружителя СШП требовалось заранее, до изготовления его платы, проверить принципиальную возможность непрерывного съёма импульсной характеристики канала (CIR) без «зачёта» кадра приёмником — то есть без ожидания флага успешного приёма RXFCG. Другого подходящего железа на момент работы не было, поэтому проверка выполнена на существующей платформе МКС.</w:t>
      </w:r>
    </w:p>
    <w:p>
      <w:pPr>
        <w:spacing w:after="120"/>
      </w:pPr>
      <w:r>
        <w:t xml:space="preserve">Работа изначально оформлена как временная проверка гипотез, а не как функция продукта. Весь экспериментальный код изолирован флагом компиляции и по умолчанию выключен.</w:t>
      </w:r>
    </w:p>
    <w:p>
      <w:pPr>
        <w:spacing w:after="120"/>
      </w:pPr>
      <w:r>
        <w:t xml:space="preserve">В исходной формулировке задача содержала два разных требования, которые оказалось необходимо разделить: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съём CIR без зачёта кадра — то есть получение характеристики с кадров, не прошедших проверку целостности;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«водопад шума» — непрерывный съём в отсутствие сигнала вообще.</w:t>
      </w:r>
    </w:p>
    <w:p>
      <w:pPr>
        <w:pStyle w:val="Heading1"/>
        <w:spacing w:after="160" w:before="320"/>
      </w:pPr>
      <w:r>
        <w:t xml:space="preserve">2. Что установлено до эксперимента</w:t>
      </w:r>
    </w:p>
    <w:p>
      <w:pPr>
        <w:spacing w:after="120"/>
      </w:pPr>
      <w:r>
        <w:t xml:space="preserve">Предварительная разведка по документации DW1000 (User Manual v2.17), исходникам эталонного приложения DecaRanging и коду драйвера дала следующее.</w:t>
      </w:r>
    </w:p>
    <w:p>
      <w:pPr>
        <w:spacing w:after="120"/>
      </w:pPr>
      <w:r>
        <w:rPr>
          <w:b/>
          <w:bCs/>
        </w:rPr>
        <w:t xml:space="preserve">Аккумулятор CIR наполняется исключительно после детекта преамбулы</w:t>
      </w:r>
      <w:r>
        <w:t xml:space="preserve"> — само наполнение и есть процесс накопления преамбулы (UM §4.1.2). Накопление стартует по факту обнаружения преамбулы и завершается на детекте SFD.</w:t>
      </w:r>
    </w:p>
    <w:p>
      <w:pPr>
        <w:spacing w:after="120"/>
      </w:pPr>
      <w:r>
        <w:t xml:space="preserve">Из этого следуют два вывода противоположного знака. Валидность CIR НЕ требует прохождения контроля целостности: накопление завершается задолго до PHR и RXFCG, значит съём по более раннему событию принципиально возможен. Но «водопад шума без сигнала» штатным аккумулятором DW1000 снять НЕЛЬЗЯ — без детекта преамбулы в памяти аккумулятора осмысленных данных нет.</w:t>
      </w:r>
    </w:p>
    <w:p>
      <w:pPr>
        <w:spacing w:after="120"/>
      </w:pPr>
      <w:r>
        <w:t xml:space="preserve">Готового образца такого режима у Decawave не обнаружено: единственная функция чтения аккумулятора в DecaRanging закрыта неопределённым макросом и не имеет ни одного вызывающего.</w:t>
      </w:r>
    </w:p>
    <w:p>
      <w:pPr>
        <w:pStyle w:val="Heading1"/>
        <w:spacing w:after="160" w:before="320"/>
      </w:pPr>
      <w:r>
        <w:t xml:space="preserve">3. Что реализовано</w:t>
      </w:r>
    </w:p>
    <w:p>
      <w:pPr>
        <w:spacing w:after="120"/>
      </w:pPr>
      <w:r>
        <w:t xml:space="preserve">В прошивку добавлен одиночный съём всего аккумулятора (1016 отсчётов при PRF 64 МГц) по раннему событию приёма — детект SFD либо ошибка PHR/CRC, — то есть до зачёта кадра. Полная характеристика уходит на хост одним потоковым кадром размером 4080 байт.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40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Реализация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Триггер съёма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RXSFDD (накопление завершено), а также RXPHE и RXFCE — кадры, провалившиеся на PHR и CRC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триггер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RXPTO — детекта преамбулы не было, характеристика не наполнена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Транспорт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Потоковый кадр нового типа, 4080 байт; командный формат такой объём не несёт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Изоляция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Compile-time флаг, по умолчанию выключен</w:t>
            </w:r>
          </w:p>
        </w:tc>
      </w:tr>
    </w:tbl>
    <w:p>
      <w:pPr>
        <w:spacing w:after="120"/>
      </w:pPr>
      <w:r>
        <w:rPr>
          <w:b/>
          <w:bCs/>
        </w:rPr>
        <w:t xml:space="preserve">Изоляция подтверждена измерением, а не рассуждением: </w:t>
      </w:r>
      <w:r>
        <w:t xml:space="preserve">при выключенном флаге сборка совпала с исходной по всем секциям и по всем адресам размещения (.text, .rodata, .data, .bss). Возврат к продуктовой прошивке ничего не стоит.</w:t>
      </w:r>
    </w:p>
    <w:p>
      <w:pPr>
        <w:pStyle w:val="Heading1"/>
        <w:spacing w:after="160" w:before="320"/>
      </w:pPr>
      <w:r>
        <w:t xml:space="preserve">4. Ход экспериментов</w:t>
      </w:r>
    </w:p>
    <w:p>
      <w:pPr>
        <w:spacing w:after="120"/>
      </w:pPr>
      <w:r>
        <w:t xml:space="preserve">Выполнено восемь серий. Основная методическая трудность состояла не в съёме, а в получении кадров, которые детектируются, но не декодируются: в штатном режиме МКС таких кадров практически не бывает.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900"/>
        <w:gridCol w:w="1500"/>
        <w:gridCol w:w="3200"/>
      </w:tblGrid>
      <w:tr>
        <w:trPr>
          <w:tblHeader/>
        </w:trPr>
        <w:tc>
          <w:tcPr>
            <w:tcW w:type="dxa" w:w="50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90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Условия</w:t>
            </w:r>
          </w:p>
        </w:tc>
        <w:tc>
          <w:tcPr>
            <w:tcW w:type="dxa" w:w="90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Съёмов</w:t>
            </w:r>
          </w:p>
        </w:tc>
        <w:tc>
          <w:tcPr>
            <w:tcW w:type="dxa" w:w="150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События</w:t>
            </w:r>
          </w:p>
        </w:tc>
        <w:tc>
          <w:tcPr>
            <w:tcW w:type="dxa" w:w="320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Итог серии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Киты EVK, стол, Mode 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SFDD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Гипотеза подтверждена; целостность съёма проверена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Киты EVK, 4 м, поворот, Mode 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SFDD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Провалов нет; шумовая полка ушла на 4 дБ за серию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Свип мощности, шлейф, Mode 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149 SFDD, 1 PHE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Первый провалившийся кадр; амплитуда не следует за мощностью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Свип мощности с метриками, Mode 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 SFDD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Шкала мощности немонотонна (см. п. 5.6)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Две платы, 2 м, Mode 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SFDD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Провалов нет; получена оценка чувствительности приёмника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Две платы, 2 м, мощность снижена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 SFDD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Провалов нет; регулировка мощности как ручка непригодна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Две платы, 2 м, Mode 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 SFDD, 1 PHE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режима открыла зону отказов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Две платы, Mode 4, плавное затенение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 SFDD, 18 PHE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Основной набор данных</w:t>
            </w:r>
          </w:p>
        </w:tc>
      </w:tr>
    </w:tbl>
    <w:p>
      <w:pPr>
        <w:spacing w:after="120"/>
      </w:pPr>
      <w:r>
        <w:rPr>
          <w:b/>
          <w:bCs/>
        </w:rPr>
        <w:t xml:space="preserve">Ключевое методическое решение. </w:t>
      </w:r>
      <w:r>
        <w:t xml:space="preserve">Режим Mode 3 (110 кбит/с, преамбула 1024 символа) обладает максимальной помехоустойчивостью: пороги детекта преамбулы и декодирования данных в нём практически совпадают, поэтому кадр либо проходит целиком, либо не обнаруживается вовсе. Переход на Mode 4 (6.8 Мбит/с, преамбула 128) разносит эти пороги примерно на 9 дБ: данные слабеют существенно быстрее, чем детект преамбулы. Именно это открыло нужную зону. Плавное ослабление тракта выполнялось перемещением металлического корпуса блока питания между антеннами — единственный доступный в лаборатории способ монотонной регулировки.</w:t>
      </w:r>
    </w:p>
    <w:p>
      <w:pPr>
        <w:pStyle w:val="Heading1"/>
        <w:spacing w:after="160" w:before="320"/>
      </w:pPr>
      <w:r>
        <w:t xml:space="preserve">5. Результаты</w:t>
      </w:r>
    </w:p>
    <w:p>
      <w:pPr>
        <w:pStyle w:val="Heading2"/>
        <w:spacing w:after="120" w:before="240"/>
      </w:pPr>
      <w:r>
        <w:t xml:space="preserve">5.1. Съём до зачёта кадра работает</w:t>
      </w:r>
    </w:p>
    <w:p>
      <w:pPr>
        <w:spacing w:after="120"/>
      </w:pPr>
      <w:r>
        <w:t xml:space="preserve">Характеристика, снятая по детекту SFD, полноценна: отношение пика к шуму до 40 дБ на близкой дистанции, передний фронт 2 отсчёта, спад многолучёвки на протяжении 30–60 отсчётов. Воспроизводимость по трём последовательным съёмам — в пределах половины децибела. Кадр 4080 байт проходит USB без потерь.</w:t>
      </w:r>
    </w:p>
    <w:p>
      <w:pPr>
        <w:pStyle w:val="Heading2"/>
        <w:spacing w:after="120" w:before="240"/>
      </w:pPr>
      <w:r>
        <w:t xml:space="preserve">5.2. Характеристика провалившихся кадров пригодна</w:t>
      </w:r>
    </w:p>
    <w:p>
      <w:pPr>
        <w:spacing w:after="120"/>
      </w:pPr>
      <w:r>
        <w:rPr>
          <w:b/>
          <w:bCs/>
        </w:rPr>
        <w:t xml:space="preserve">На выборке из 18 кадров, не прошедших проверку PHR, первый путь различим во всех случаях. </w:t>
      </w:r>
      <w:r>
        <w:t xml:space="preserve">Позиция пика совпадает с позицией у нормально принятых кадров (медиана 748 против 745), начальная зона и хвост буфера не отличаются. Исходное требование — получать характеристику с кадров, которые приёмник не зачёл, — выполнено.</w:t>
      </w:r>
    </w:p>
    <w:p>
      <w:pPr>
        <w:pStyle w:val="Heading2"/>
        <w:spacing w:after="120" w:before="240"/>
      </w:pPr>
      <w:r>
        <w:t xml:space="preserve">5.3. Характеристика не предсказывает успешность декодирования</w:t>
      </w:r>
    </w:p>
    <w:p>
      <w:pPr>
        <w:spacing w:after="120"/>
      </w:pPr>
      <w:r>
        <w:t xml:space="preserve">Отношение сигнал/шум у провалившихся кадров: медиана 17.4 дБ при разбросе 6.9–23.2. У остальных: медиана 20.1 дБ при разбросе 11.7–24.2. Сорок кадров из сорока двух непровалившихся попадают внутрь диапазона провалившихся.</w:t>
      </w:r>
    </w:p>
    <w:p>
      <w:pPr>
        <w:spacing w:after="120"/>
      </w:pPr>
      <w:r>
        <w:rPr>
          <w:b/>
          <w:bCs/>
        </w:rPr>
        <w:t xml:space="preserve">Вывод: по одной импульсной характеристике нельзя судить о том, будет ли кадр декодирован. </w:t>
      </w:r>
      <w:r>
        <w:t xml:space="preserve">Для приёмника связи это ограничение, для обнаружителя — напротив, подтверждение его основной ценности: он регистрирует сигналы, которые декодировать невозможно.</w:t>
      </w:r>
    </w:p>
    <w:p>
      <w:pPr>
        <w:pStyle w:val="Heading2"/>
        <w:spacing w:after="120" w:before="240"/>
      </w:pPr>
      <w:r>
        <w:t xml:space="preserve">5.4. Механизм отказа читается из характеристики</w:t>
      </w:r>
    </w:p>
    <w:p>
      <w:pPr>
        <w:spacing w:after="120"/>
      </w:pPr>
      <w:r>
        <w:t xml:space="preserve">Отношение поздней энергии к ранней (окно «пик+20…пик+60» к окну «пик…пик+15», обе величины за вычетом шумовой полки) составляет 0.324 у провалившихся кадров против 0.195 у прошедших. Различимость по этому признаку AUC = 0.779, что несколько лучше, чем по отношению сигнал/шум (AUC = 0.745). Ни один из признаков не является решающим по отдельности.</w:t>
      </w:r>
    </w:p>
    <w:p>
      <w:pPr>
        <w:spacing w:after="120"/>
      </w:pPr>
      <w:r>
        <w:t xml:space="preserve">Физически это означает задержанную многолучёвую составляющую, размывающую символ. Отдельно зафиксирован второй механизм отказа: единичный кадр с нормальным пиком, но шумовой полкой, превышающей медианную по серии в двенадцать раз, — всплеск помехи. Два механизма различимы в сыром CIR между собой.</w:t>
      </w:r>
    </w:p>
    <w:p>
      <w:pPr>
        <w:pStyle w:val="Heading2"/>
        <w:spacing w:after="120" w:before="240"/>
      </w:pPr>
      <w:r>
        <w:t xml:space="preserve">5.5. Амплитуда аккумулятора не является мерой мощности</w:t>
      </w:r>
    </w:p>
    <w:p>
      <w:pPr>
        <w:spacing w:after="120"/>
      </w:pPr>
      <w:r>
        <w:t xml:space="preserve">В одном режиме измерений амплитуда сжимала изменение мощности примерно вдвое по децибелам, в другом — растягивала (наклон 1.59 при r² = 0.52). Единой зависимости не существует. Для количественной оценки мощности следует использовать величину, нормированную на число накопленных символов преамбулы, а не амплитуду пика.</w:t>
      </w:r>
    </w:p>
    <w:p>
      <w:pPr>
        <w:spacing w:after="120"/>
      </w:pPr>
      <w:r>
        <w:t xml:space="preserve">Смежное ограничение: оценка мощности не сопоставима между режимами PHY. При неизменных дистанции и мощности переход с Mode 3 на Mode 4 дал кажущийся прирост 17.5 дБ исключительно за счёт укорочения преамбулы с 1024 до 128 символов.</w:t>
      </w:r>
    </w:p>
    <w:p>
      <w:pPr>
        <w:pStyle w:val="Heading2"/>
        <w:spacing w:after="120" w:before="240"/>
      </w:pPr>
      <w:r>
        <w:t xml:space="preserve">5.6. Регулировка мощности передатчика немонотонна</w:t>
      </w:r>
    </w:p>
    <w:p>
      <w:pPr>
        <w:spacing w:after="120"/>
      </w:pPr>
      <w:r>
        <w:t xml:space="preserve">Управление действует — размах измеренной мощности 19.7 дБ, — но отображение задаваемого уровня в реальную мощность нарушено. Три различных уровня дали одинаковый результат, а в нижней части шкалы порядок инвертирован: номинальный минимум оказался на 12 дБ сильнее промежуточного значения. Инструмент требует отдельного разбора и в текущем виде для калиброванных измерений непригоден.</w:t>
      </w:r>
    </w:p>
    <w:p>
      <w:pPr>
        <w:pStyle w:val="Heading2"/>
        <w:spacing w:after="120" w:before="240"/>
      </w:pPr>
      <w:r>
        <w:t xml:space="preserve">5.7. Побочные результаты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Приёмный тракт МКС уверенно декодирует кадры при средней мощности −106 дБм, отдельные кадры — при −112 дБм, то есть работает на уровне паспортной чувствительности. Это на 11–17 дБ лучше ранее задокументированной оценки и усиливает вывод о том, что дефицит дальности сосредоточен на передающей стороне.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Шумовая полка нестационарна: за одну серию наблюдений она смещалась на 4 дБ без вмешательства оператора.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Фактическое время чтения аккумулятора составило 1–3 мс против расчётных 29 мс. Это опровергает принятую ранее оценку рабочей частоты интерфейса SPI и требует отдельной разведки.</w:t>
      </w:r>
    </w:p>
    <w:p>
      <w:pPr>
        <w:pStyle w:val="Heading1"/>
        <w:spacing w:after="160" w:before="320"/>
      </w:pPr>
      <w:r>
        <w:t xml:space="preserve">6. Выводы для задачи обнаружителя</w:t>
      </w:r>
    </w:p>
    <w:p>
      <w:pPr>
        <w:spacing w:after="120"/>
      </w:pPr>
      <w:r>
        <w:rPr>
          <w:b/>
          <w:bCs/>
        </w:rPr>
        <w:t xml:space="preserve">6.1. Требование «видеть эфир без сигнала» через аккумулятор DW1000 невыполнимо. </w:t>
      </w:r>
      <w:r>
        <w:t xml:space="preserve">Это следует из принципа работы узла: накопление стартует только по детекту преамбулы. Ограничение архитектурное, а не программное, и обойти его настройкой нельзя. Обнаружитель, построенный на DW1000, регистрирует только то, чья преамбула совпадает с его собственной конфигурацией — канал, скорость, длина и код преамбулы, частота повторения импульсов.</w:t>
      </w:r>
    </w:p>
    <w:p>
      <w:pPr>
        <w:spacing w:after="120"/>
      </w:pPr>
      <w:r>
        <w:rPr>
          <w:b/>
          <w:bCs/>
        </w:rPr>
        <w:t xml:space="preserve">Это следует проверить до разводки платы макета. </w:t>
      </w:r>
      <w:r>
        <w:t xml:space="preserve">Если основной функцией обнаружителя предполагается регистрация произвольных СШП-сигналов независимо от их физического уровня, то конфигурация из пяти модулей DW1000 такой функции не обеспечивает, и вопрос выбора элементной базы нужно пересматривать заранее. Каким узлом можно получить энергию в канале без детекта преамбулы — предмет отдельной проработки, в рамках настоящей работы не исследовался.</w:t>
      </w:r>
    </w:p>
    <w:p>
      <w:pPr>
        <w:spacing w:after="120"/>
      </w:pPr>
      <w:r>
        <w:rPr>
          <w:b/>
          <w:bCs/>
        </w:rPr>
        <w:t xml:space="preserve">6.2. В пределах совпадающей конфигурации обнаружитель работоспособен и полезен. </w:t>
      </w:r>
      <w:r>
        <w:t xml:space="preserve">Он регистрирует кадры, которые приёмник связи отбрасывает, и характеристика этих кадров пригодна для анализа. Более того, по ней различаются причины отказа — многолучёвое размывание и импульсная помеха дают разные картины.</w:t>
      </w:r>
    </w:p>
    <w:p>
      <w:pPr>
        <w:spacing w:after="120"/>
      </w:pPr>
      <w:r>
        <w:rPr>
          <w:b/>
          <w:bCs/>
        </w:rPr>
        <w:t xml:space="preserve">6.3. Снимать следует полный аккумулятор, а не окно вокруг первого пути. </w:t>
      </w:r>
      <w:r>
        <w:t xml:space="preserve">В проведённых измерениях импульс располагался примерно на 75–79 % длины буфера, то есть перед ним оставалось более семисот отсчётов чистого шума, измеренного одновременно с сигналом и в той же полосе. С учётом нестационарности шумовой полки такая одновременная опора необходима: измерять шум отдельно, при калибровке, недостаточно. Усечённое окно этой возможности не даёт.</w:t>
      </w:r>
    </w:p>
    <w:p>
      <w:pPr>
        <w:spacing w:after="120"/>
      </w:pPr>
      <w:r>
        <w:rPr>
          <w:b/>
          <w:bCs/>
        </w:rPr>
        <w:t xml:space="preserve">6.4. Порог принятия решения нельзя строить на амплитуде. </w:t>
      </w:r>
      <w:r>
        <w:t xml:space="preserve">Амплитуда пика зависит от состояния тракта усиления и не связана с принятой мощностью устойчивым соотношением. Решающее правило должно опираться на нормированные величины и, судя по полученным данным, выигрывает от учёта распределения энергии во времени, а не только её уровня.</w:t>
      </w:r>
    </w:p>
    <w:p>
      <w:pPr>
        <w:spacing w:after="120"/>
      </w:pPr>
      <w:r>
        <w:rPr>
          <w:b/>
          <w:bCs/>
        </w:rPr>
        <w:t xml:space="preserve">6.5. Требования к тракту передачи данных умеренные. </w:t>
      </w:r>
      <w:r>
        <w:t xml:space="preserve">Полная характеристика — около 4 килобайт на съём — устойчиво передаётся по USB без потерь, а чтение из радиомодуля занимает единицы миллисекунд. Для пятиканальной конфигурации это означает, что узким местом станет не объём данных, а организация одновременного съёма по каналам.</w:t>
      </w:r>
    </w:p>
    <w:p>
      <w:pPr>
        <w:pStyle w:val="Heading1"/>
        <w:spacing w:after="160" w:before="320"/>
      </w:pPr>
      <w:r>
        <w:t xml:space="preserve">7. Что осталось открытым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Каким узлом возможна регистрация энергии в канале без детекта преамбулы — определяющий вопрос для выбора элементной базы макета.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Фактическая частота интерфейса SPI и причина расхождения с расчётом в четырнадцать раз.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Раскладка регистра мощности передатчика, объясняющая немонотонность шкалы.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Устойчивость признака «отношение поздней энергии к ранней» на большей выборке и в других помеховых условиях.</w:t>
      </w:r>
    </w:p>
    <w:p>
      <w:pPr>
        <w:pBdr>
          <w:top w:val="single" w:color="889AAB" w:sz="6" w:space="6"/>
        </w:pBdr>
        <w:spacing w:before="360"/>
      </w:pPr>
      <w:r>
        <w:rPr>
          <w:i/>
          <w:iCs/>
          <w:color w:val="444444"/>
          <w:sz w:val="19"/>
          <w:szCs w:val="19"/>
        </w:rPr>
        <w:t xml:space="preserve">Экспериментальный режим изолирован флагом компиляции и по умолчанию выключен. Классификация задачи как относящейся к обнаружителю, а не к МКС, не изменялась.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left"/>
    </w:pPr>
    <w:rPr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qFormat/>
    <w:pPr>
      <w:jc w:val="left"/>
    </w:pPr>
    <w:rPr>
      <w:b/>
      <w:bCs/>
      <w:color w:val="2E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Сырой съём импульсной характеристики канала до зачёта кадра</dc:title>
  <dc:creator>Vagan Sarukhanov</dc:creator>
  <dc:description>Экспериментальная проверка на платформе МКС в интересах проекта обнаружителя СШП</dc:description>
  <cp:lastModifiedBy>Un-named</cp:lastModifiedBy>
  <cp:revision>1</cp:revision>
  <dcterms:created xsi:type="dcterms:W3CDTF">2026-07-26T16:53:10.359Z</dcterms:created>
  <dcterms:modified xsi:type="dcterms:W3CDTF">2026-07-26T16:53:10.372Z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