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bCs/>
          <w:sz w:val="28"/>
          <w:szCs w:val="28"/>
        </w:rPr>
        <w:t>Обнаружитель СШП на готовых модулях — промежуточные результаты</w:t>
      </w:r>
    </w:p>
    <w:p>
      <w:pPr>
        <w:pBdr>
          <w:bottom w:val="single" w:sz="6" w:space="4" w:color="889AAB"/>
        </w:pBdr>
        <w:spacing w:after="140"/>
      </w:pPr>
      <w:r>
        <w:rPr>
          <w:color w:val="444444"/>
          <w:sz w:val="19"/>
          <w:szCs w:val="19"/>
        </w:rPr>
        <w:t>Vagan Sarukhanov · 27.07.2026 · к обсуждению</w:t>
      </w:r>
    </w:p>
    <w:p>
      <w:pPr>
        <w:spacing w:before="120" w:after="60"/>
      </w:pPr>
      <w:r>
        <w:rPr>
          <w:b/>
          <w:bCs/>
          <w:sz w:val="20"/>
          <w:szCs w:val="20"/>
        </w:rPr>
        <w:t>1. Проблемы, с которыми столкнулись</w:t>
      </w:r>
    </w:p>
    <w:p>
      <w:pPr>
        <w:spacing w:after="80"/>
        <w:jc w:val="both"/>
      </w:pPr>
      <w:r>
        <w:rPr>
          <w:b/>
          <w:bCs/>
          <w:sz w:val="18"/>
          <w:szCs w:val="18"/>
        </w:rPr>
        <w:t xml:space="preserve">Эфир без сигнала. </w:t>
      </w:r>
      <w:r>
        <w:rPr>
          <w:sz w:val="18"/>
          <w:szCs w:val="18"/>
        </w:rPr>
        <w:t xml:space="preserve">Накопление в аккумуляторе DW1000 стартует только по детекту преамбулы, поэтому наблюдать эфир в отсутствие сигнала через него нельзя. Разведка по мануалам нашла обходной путь: узел АРУ измеряет фоновую энергию без кадра (Energy Scan / ED channel scan). Уровень относительный, на железе не проверялось.</w:t>
      </w:r>
    </w:p>
    <w:p>
      <w:pPr>
        <w:spacing w:after="80"/>
        <w:jc w:val="both"/>
      </w:pPr>
      <w:r>
        <w:rPr>
          <w:b/>
          <w:bCs/>
          <w:sz w:val="18"/>
          <w:szCs w:val="18"/>
        </w:rPr>
        <w:t xml:space="preserve">Число модулей не выводится из документов. </w:t>
      </w:r>
      <w:r>
        <w:rPr>
          <w:sz w:val="18"/>
          <w:szCs w:val="18"/>
        </w:rPr>
        <w:t xml:space="preserve">Поведение приёмника при коде преамбулы, не совпадающем с кодом передатчика, не описано ни в одном из трёх мануалов (DW1000, DW3000, QM33100). Обосновать число каналов макета ссылкой на документ невозможно — вопрос пришлось решать замером.</w:t>
      </w:r>
    </w:p>
    <w:p>
      <w:pPr>
        <w:spacing w:after="80"/>
        <w:jc w:val="both"/>
      </w:pPr>
      <w:r>
        <w:rPr>
          <w:b/>
          <w:bCs/>
          <w:sz w:val="18"/>
          <w:szCs w:val="18"/>
        </w:rPr>
        <w:t xml:space="preserve">Узкое место — чтение из радиомодуля. </w:t>
      </w:r>
      <w:r>
        <w:rPr>
          <w:sz w:val="18"/>
          <w:szCs w:val="18"/>
        </w:rPr>
        <w:t xml:space="preserve">Чтение полного аккумулятора занимает около 29 мс, всё это время приёмник эфир не наблюдает, а обмен идёт опросом при полностью замаскированных прерываниях. Для пяти-семи каналов необходимы прямой доступ к памяти и повышение тактовой частоты интерфейса.</w:t>
      </w:r>
    </w:p>
    <w:p>
      <w:pPr>
        <w:spacing w:after="80"/>
        <w:jc w:val="both"/>
      </w:pPr>
      <w:r>
        <w:rPr>
          <w:b/>
          <w:bCs/>
          <w:sz w:val="18"/>
          <w:szCs w:val="18"/>
        </w:rPr>
        <w:t xml:space="preserve">Шкала мощности передатчика немонотонна. </w:t>
      </w:r>
      <w:r>
        <w:rPr>
          <w:sz w:val="18"/>
          <w:szCs w:val="18"/>
        </w:rPr>
        <w:t xml:space="preserve">Уровень 140 даёт сигнал сильнее уровня 223. Подтверждено на второй плате с другой прошивкой, то есть это свойство раскладки регистра, а не экземпляра. Кроме того, событие обнаружения SFD срабатывает на шуме — около одной ложной тревоги за восемь минут на модуль.</w:t>
      </w:r>
    </w:p>
    <w:p>
      <w:pPr>
        <w:spacing w:before="120" w:after="60"/>
      </w:pPr>
      <w:r>
        <w:rPr>
          <w:b/>
          <w:bCs/>
          <w:sz w:val="20"/>
          <w:szCs w:val="20"/>
        </w:rPr>
        <w:t>2. Проведённые эксперименты</w:t>
      </w:r>
    </w:p>
    <w:p>
      <w:pPr>
        <w:spacing w:after="80"/>
        <w:jc w:val="both"/>
      </w:pPr>
      <w:r>
        <w:rPr>
          <w:b/>
          <w:bCs/>
          <w:sz w:val="18"/>
          <w:szCs w:val="18"/>
        </w:rPr>
        <w:t xml:space="preserve">Кросс-детект кодов преамбулы. </w:t>
      </w:r>
      <w:r>
        <w:rPr>
          <w:sz w:val="18"/>
          <w:szCs w:val="18"/>
        </w:rPr>
        <w:t xml:space="preserve">Канал 2, скорость 110 кбит/с, преамбула 1024, PRF 64. Передатчик неизменно на коде 9. Пять прогонов по 30 съёмов на дистанции 2 м — коды 9 (базовый), 10, 11, 12 и снова 9 (контрольный). Затем лестница по принятой мощности от −95.6 до −81 дБм, задаваемая расстоянием и мощностью передатчика. Отдельный контроль с выключенным передатчиком.</w:t>
      </w:r>
    </w:p>
    <w:p>
      <w:pPr>
        <w:spacing w:before="120" w:after="60"/>
      </w:pPr>
      <w:r>
        <w:rPr>
          <w:b/>
          <w:bCs/>
          <w:sz w:val="20"/>
          <w:szCs w:val="20"/>
        </w:rPr>
        <w:t>3. Результаты</w:t>
      </w:r>
    </w:p>
    <w:tbl>
      <w:tblPr>
        <w:tblW w:w="8638" w:type="dxa"/>
        <w:tblBorders>
          <w:top w:val="single" w:sz="4" w:color="AAAAAA"/>
          <w:bottom w:val="single" w:sz="4" w:color="AAAAAA"/>
          <w:insideH w:val="single" w:sz="4" w:color="DDDDDD"/>
        </w:tblBorders>
      </w:tblPr>
      <w:tblGrid>
        <w:gridCol w:w="2500"/>
        <w:gridCol w:w="2100"/>
        <w:gridCol w:w="1900"/>
        <w:gridCol w:w="2138"/>
      </w:tblGrid>
      <w:tr>
        <w:tc>
          <w:tcPr>
            <w:tcW w:w="2500" w:type="dxa"/>
          </w:tcPr>
          <w:p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 xml:space="preserve">Принятая мощность</w:t>
            </w:r>
          </w:p>
        </w:tc>
        <w:tc>
          <w:tcPr>
            <w:tcW w:w="2100" w:type="dxa"/>
          </w:tcPr>
          <w:p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Прослушивание</w:t>
            </w:r>
          </w:p>
        </w:tc>
        <w:tc>
          <w:tcPr>
            <w:tcW w:w="1900" w:type="dxa"/>
          </w:tcPr>
          <w:p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События</w:t>
            </w:r>
          </w:p>
        </w:tc>
        <w:tc>
          <w:tcPr>
            <w:tcW w:w="2138" w:type="dxa"/>
          </w:tcPr>
          <w:p>
            <w:pPr>
              <w:spacing w:after="20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Частота, 1/с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−95.6 дБм (2 м)</w:t>
            </w:r>
          </w:p>
        </w:tc>
        <w:tc>
          <w:tcPr>
            <w:tcW w:w="21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904 с</w:t>
            </w:r>
          </w:p>
        </w:tc>
        <w:tc>
          <w:tcPr>
            <w:tcW w:w="19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1 (шум)</w:t>
            </w:r>
          </w:p>
        </w:tc>
        <w:tc>
          <w:tcPr>
            <w:tcW w:w="2138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0.001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−90.5 дБм (1 м)</w:t>
            </w:r>
          </w:p>
        </w:tc>
        <w:tc>
          <w:tcPr>
            <w:tcW w:w="21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~100 с</w:t>
            </w:r>
          </w:p>
        </w:tc>
        <w:tc>
          <w:tcPr>
            <w:tcW w:w="19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138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0.010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−87.5 дБм</w:t>
            </w:r>
          </w:p>
        </w:tc>
        <w:tc>
          <w:tcPr>
            <w:tcW w:w="21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28 с</w:t>
            </w:r>
          </w:p>
        </w:tc>
        <w:tc>
          <w:tcPr>
            <w:tcW w:w="19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2138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0.714</w:t>
            </w:r>
          </w:p>
        </w:tc>
      </w:tr>
      <w:tr>
        <w:tc>
          <w:tcPr>
            <w:tcW w:w="2500" w:type="dxa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−82…−81 дБм</w:t>
            </w:r>
          </w:p>
        </w:tc>
        <w:tc>
          <w:tcPr>
            <w:tcW w:w="21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секунды</w:t>
            </w:r>
          </w:p>
        </w:tc>
        <w:tc>
          <w:tcPr>
            <w:tcW w:w="1900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2138" w:type="dxa"/>
          </w:tcPr>
          <w:p>
            <w:pPr>
              <w:spacing w:after="20"/>
              <w:jc w:val="right"/>
            </w:pPr>
            <w:r>
              <w:rPr>
                <w:sz w:val="17"/>
                <w:szCs w:val="17"/>
              </w:rPr>
              <w:t xml:space="preserve">мгновенно</w:t>
            </w:r>
          </w:p>
        </w:tc>
      </w:tr>
    </w:tbl>
    <w:p>
      <w:pPr>
        <w:spacing w:after="80"/>
        <w:jc w:val="both"/>
      </w:pPr>
      <w:r>
        <w:rPr>
          <w:sz w:val="18"/>
          <w:szCs w:val="18"/>
        </w:rPr>
        <w:t xml:space="preserve">Контрольный прогон воспроизвёл базовый в пределах 0.3 дБ — серия действительна. При выключенном передатчике на той же дистанции получено ноль событий из десяти, то есть события вызывает именно передатчик.</w:t>
      </w:r>
    </w:p>
    <w:p>
      <w:pPr>
        <w:spacing w:after="80"/>
        <w:jc w:val="both"/>
      </w:pPr>
      <w:r>
        <w:rPr>
          <w:sz w:val="18"/>
          <w:szCs w:val="18"/>
        </w:rPr>
        <w:t xml:space="preserve">Порог просачивания лежит около −88…−90 дБм: частота меняется примерно в 70 раз на 3 дБ. Совпадающий код принимается вплоть до −106 дБм, следовательно подавление чужого кода составляет не менее 17 дБ (оценка снизу — предел чувствительности не искали).</w:t>
      </w:r>
    </w:p>
    <w:p>
      <w:pPr>
        <w:spacing w:after="80"/>
        <w:jc w:val="both"/>
      </w:pPr>
      <w:r>
        <w:rPr>
          <w:sz w:val="18"/>
          <w:szCs w:val="18"/>
        </w:rPr>
        <w:t xml:space="preserve">Просачивание информации не несёт. Аккумулятор заполняется бесструктурным плато: отношение максимума ко второму отсчёту 1.03, до 15 % отсчётов лежат в пределах 30 % от максимума, и ни одно из положений пика не попало в окно настоящего сигнала. Кадры не декодируются.</w:t>
      </w:r>
    </w:p>
    <w:p>
      <w:pPr>
        <w:spacing w:before="120" w:after="60"/>
      </w:pPr>
      <w:r>
        <w:rPr>
          <w:b/>
          <w:bCs/>
          <w:sz w:val="20"/>
          <w:szCs w:val="20"/>
        </w:rPr>
        <w:t>4. Что это означает для макета</w:t>
      </w:r>
    </w:p>
    <w:p>
      <w:pPr>
        <w:spacing w:after="80"/>
        <w:jc w:val="both"/>
      </w:pPr>
      <w:r>
        <w:rPr>
          <w:sz w:val="18"/>
          <w:szCs w:val="18"/>
        </w:rPr>
        <w:t xml:space="preserve">Один модуль покрывает один код преамбулы — число модулей умножается на число кодов. Пять или семь модулей дают пять или семь конфигураций, а не «стандартный СШП» в целом; более широкий охват достижим только последовательным сканированием во времени.</w:t>
      </w:r>
    </w:p>
    <w:p>
      <w:pPr>
        <w:spacing w:after="80"/>
        <w:jc w:val="both"/>
      </w:pPr>
      <w:r>
        <w:rPr>
          <w:sz w:val="18"/>
          <w:szCs w:val="18"/>
        </w:rPr>
        <w:t xml:space="preserve">Модули DWM3000 необходимы: DW1000 не достаёт до канала 9, который стандарт делает обязательным для верхнего диапазона. Границы состава оговариваются сразу — режим HPRF не поддерживается, поддиапазон ниже 1 ГГц не покрывает ни один из чипов.</w:t>
      </w:r>
    </w:p>
    <w:p>
      <w:pPr>
        <w:spacing w:before="120" w:after="60"/>
      </w:pPr>
      <w:r>
        <w:rPr>
          <w:b/>
          <w:bCs/>
          <w:sz w:val="20"/>
          <w:szCs w:val="20"/>
        </w:rPr>
        <w:t>5. Ближайшие шаги</w:t>
      </w:r>
    </w:p>
    <w:p>
      <w:pPr>
        <w:spacing w:after="80"/>
        <w:jc w:val="both"/>
      </w:pPr>
      <w:r>
        <w:rPr>
          <w:sz w:val="18"/>
          <w:szCs w:val="18"/>
        </w:rPr>
        <w:t xml:space="preserve">Различить «преамбулы не было» и «преамбула была, SFD не найден» — разведка флагов таймаута идёт. Далее: серия по ложным тревогам при выключенном передатчике, несовпадение PRF при совпадающем коде, время переконфигурации PHY как параметр цикла сканирования.</w:t>
      </w:r>
    </w:p>
    <w:sectPr w:rsidR="007C762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217"/>
    <w:multiLevelType w:val="hybridMultilevel"/>
    <w:tmpl w:val="FAB81610"/>
    <w:lvl w:ilvl="0" w:tplc="E696C8E4">
      <w:start w:val="1"/>
      <w:numFmt w:val="bullet"/>
      <w:lvlText w:val="•"/>
      <w:lvlJc w:val="left"/>
      <w:pPr>
        <w:ind w:left="460" w:hanging="260"/>
      </w:pPr>
    </w:lvl>
    <w:lvl w:ilvl="1" w:tplc="826CE728">
      <w:numFmt w:val="decimal"/>
      <w:lvlText w:val=""/>
      <w:lvlJc w:val="left"/>
    </w:lvl>
    <w:lvl w:ilvl="2" w:tplc="9614FFF4">
      <w:numFmt w:val="decimal"/>
      <w:lvlText w:val=""/>
      <w:lvlJc w:val="left"/>
    </w:lvl>
    <w:lvl w:ilvl="3" w:tplc="CF6856A0">
      <w:numFmt w:val="decimal"/>
      <w:lvlText w:val=""/>
      <w:lvlJc w:val="left"/>
    </w:lvl>
    <w:lvl w:ilvl="4" w:tplc="9F16AD72">
      <w:numFmt w:val="decimal"/>
      <w:lvlText w:val=""/>
      <w:lvlJc w:val="left"/>
    </w:lvl>
    <w:lvl w:ilvl="5" w:tplc="726E6810">
      <w:numFmt w:val="decimal"/>
      <w:lvlText w:val=""/>
      <w:lvlJc w:val="left"/>
    </w:lvl>
    <w:lvl w:ilvl="6" w:tplc="84A8C20E">
      <w:numFmt w:val="decimal"/>
      <w:lvlText w:val=""/>
      <w:lvlJc w:val="left"/>
    </w:lvl>
    <w:lvl w:ilvl="7" w:tplc="243095EA">
      <w:numFmt w:val="decimal"/>
      <w:lvlText w:val=""/>
      <w:lvlJc w:val="left"/>
    </w:lvl>
    <w:lvl w:ilvl="8" w:tplc="B4E67EFC">
      <w:numFmt w:val="decimal"/>
      <w:lvlText w:val=""/>
      <w:lvlJc w:val="left"/>
    </w:lvl>
  </w:abstractNum>
  <w:abstractNum w:abstractNumId="1" w15:restartNumberingAfterBreak="0">
    <w:nsid w:val="152F5181"/>
    <w:multiLevelType w:val="hybridMultilevel"/>
    <w:tmpl w:val="C3CE2B0A"/>
    <w:lvl w:ilvl="0" w:tplc="632E6BDA">
      <w:start w:val="1"/>
      <w:numFmt w:val="bullet"/>
      <w:lvlText w:val="●"/>
      <w:lvlJc w:val="left"/>
      <w:pPr>
        <w:ind w:left="720" w:hanging="360"/>
      </w:pPr>
    </w:lvl>
    <w:lvl w:ilvl="1" w:tplc="EE189080">
      <w:start w:val="1"/>
      <w:numFmt w:val="bullet"/>
      <w:lvlText w:val="○"/>
      <w:lvlJc w:val="left"/>
      <w:pPr>
        <w:ind w:left="1440" w:hanging="360"/>
      </w:pPr>
    </w:lvl>
    <w:lvl w:ilvl="2" w:tplc="148E0D7A">
      <w:start w:val="1"/>
      <w:numFmt w:val="bullet"/>
      <w:lvlText w:val="■"/>
      <w:lvlJc w:val="left"/>
      <w:pPr>
        <w:ind w:left="2160" w:hanging="360"/>
      </w:pPr>
    </w:lvl>
    <w:lvl w:ilvl="3" w:tplc="82DCD434">
      <w:start w:val="1"/>
      <w:numFmt w:val="bullet"/>
      <w:lvlText w:val="●"/>
      <w:lvlJc w:val="left"/>
      <w:pPr>
        <w:ind w:left="2880" w:hanging="360"/>
      </w:pPr>
    </w:lvl>
    <w:lvl w:ilvl="4" w:tplc="75A4B1FA">
      <w:start w:val="1"/>
      <w:numFmt w:val="bullet"/>
      <w:lvlText w:val="○"/>
      <w:lvlJc w:val="left"/>
      <w:pPr>
        <w:ind w:left="3600" w:hanging="360"/>
      </w:pPr>
    </w:lvl>
    <w:lvl w:ilvl="5" w:tplc="664AA318">
      <w:start w:val="1"/>
      <w:numFmt w:val="bullet"/>
      <w:lvlText w:val="■"/>
      <w:lvlJc w:val="left"/>
      <w:pPr>
        <w:ind w:left="4320" w:hanging="360"/>
      </w:pPr>
    </w:lvl>
    <w:lvl w:ilvl="6" w:tplc="3C4238A8">
      <w:start w:val="1"/>
      <w:numFmt w:val="bullet"/>
      <w:lvlText w:val="●"/>
      <w:lvlJc w:val="left"/>
      <w:pPr>
        <w:ind w:left="5040" w:hanging="360"/>
      </w:pPr>
    </w:lvl>
    <w:lvl w:ilvl="7" w:tplc="F62E09BA">
      <w:start w:val="1"/>
      <w:numFmt w:val="bullet"/>
      <w:lvlText w:val="●"/>
      <w:lvlJc w:val="left"/>
      <w:pPr>
        <w:ind w:left="5760" w:hanging="360"/>
      </w:pPr>
    </w:lvl>
    <w:lvl w:ilvl="8" w:tplc="96885A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743412"/>
    <w:multiLevelType w:val="hybridMultilevel"/>
    <w:tmpl w:val="94D070CA"/>
    <w:lvl w:ilvl="0" w:tplc="7C0098D6">
      <w:start w:val="1"/>
      <w:numFmt w:val="decimal"/>
      <w:lvlText w:val="%1."/>
      <w:lvlJc w:val="left"/>
      <w:pPr>
        <w:ind w:left="460" w:hanging="260"/>
      </w:pPr>
    </w:lvl>
    <w:lvl w:ilvl="1" w:tplc="B3EC1C94">
      <w:numFmt w:val="decimal"/>
      <w:lvlText w:val=""/>
      <w:lvlJc w:val="left"/>
    </w:lvl>
    <w:lvl w:ilvl="2" w:tplc="E30E1D6E">
      <w:numFmt w:val="decimal"/>
      <w:lvlText w:val=""/>
      <w:lvlJc w:val="left"/>
    </w:lvl>
    <w:lvl w:ilvl="3" w:tplc="7E5AAB68">
      <w:numFmt w:val="decimal"/>
      <w:lvlText w:val=""/>
      <w:lvlJc w:val="left"/>
    </w:lvl>
    <w:lvl w:ilvl="4" w:tplc="22A2E90E">
      <w:numFmt w:val="decimal"/>
      <w:lvlText w:val=""/>
      <w:lvlJc w:val="left"/>
    </w:lvl>
    <w:lvl w:ilvl="5" w:tplc="677EAA36">
      <w:numFmt w:val="decimal"/>
      <w:lvlText w:val=""/>
      <w:lvlJc w:val="left"/>
    </w:lvl>
    <w:lvl w:ilvl="6" w:tplc="83D03B02">
      <w:numFmt w:val="decimal"/>
      <w:lvlText w:val=""/>
      <w:lvlJc w:val="left"/>
    </w:lvl>
    <w:lvl w:ilvl="7" w:tplc="27EA84D2">
      <w:numFmt w:val="decimal"/>
      <w:lvlText w:val=""/>
      <w:lvlJc w:val="left"/>
    </w:lvl>
    <w:lvl w:ilvl="8" w:tplc="DC066C96">
      <w:numFmt w:val="decimal"/>
      <w:lvlText w:val=""/>
      <w:lvlJc w:val="left"/>
    </w:lvl>
  </w:abstractNum>
  <w:num w:numId="1" w16cid:durableId="1288589485">
    <w:abstractNumId w:val="1"/>
    <w:lvlOverride w:ilvl="0">
      <w:startOverride w:val="1"/>
    </w:lvlOverride>
  </w:num>
  <w:num w:numId="2" w16cid:durableId="36242387">
    <w:abstractNumId w:val="0"/>
    <w:lvlOverride w:ilvl="0">
      <w:startOverride w:val="1"/>
    </w:lvlOverride>
  </w:num>
  <w:num w:numId="3" w16cid:durableId="6810097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D38"/>
    <w:rsid w:val="001A2B73"/>
    <w:rsid w:val="00294D38"/>
    <w:rsid w:val="005552F0"/>
    <w:rsid w:val="005A3AAD"/>
    <w:rsid w:val="007C7620"/>
    <w:rsid w:val="009F74E4"/>
    <w:rsid w:val="00AF7233"/>
    <w:rsid w:val="00C9219E"/>
    <w:rsid w:val="00D42C92"/>
    <w:rsid w:val="00E3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2971"/>
  <w15:docId w15:val="{9561B5CC-38C8-427E-A014-4EB5B528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jc w:val="left"/>
      <w:outlineLvl w:val="0"/>
    </w:pPr>
    <w:rPr>
      <w:b/>
      <w:bCs/>
      <w:color w:val="1F3B57"/>
      <w:sz w:val="28"/>
      <w:szCs w:val="28"/>
    </w:rPr>
  </w:style>
  <w:style w:type="paragraph" w:styleId="2">
    <w:name w:val="heading 2"/>
    <w:uiPriority w:val="9"/>
    <w:unhideWhenUsed/>
    <w:qFormat/>
    <w:pPr>
      <w:jc w:val="left"/>
      <w:outlineLvl w:val="1"/>
    </w:pPr>
    <w:rPr>
      <w:b/>
      <w:bCs/>
      <w:color w:val="2E5A8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Сырой съём импульсной характеристики канала до зачёта кадра</vt:lpstr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Обнаружитель СШП на готовых модулях — промежуточные результаты</dc:title>
  <dc:creator>Vagan Sarukhanov</dc:creator>
  <dc:description>Краткая сводка проблем, экспериментов и промежуточных итогов</dc:description>
  <cp:lastModifiedBy>Wagan Sarukhanov</cp:lastModifiedBy>
  <cp:revision>5</cp:revision>
  <dcterms:created xsi:type="dcterms:W3CDTF">2026-07-26T16:53:00Z</dcterms:created>
  <dcterms:modified xsi:type="dcterms:W3CDTF">2026-07-27T14:30:00Z</dcterms:modified>
</cp:coreProperties>
</file>