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0"/>
          <w:szCs w:val="40"/>
        </w:rPr>
        <w:t xml:space="preserve">Intune Grouping, Targeting and Naming Standard</w:t>
      </w:r>
    </w:p>
    <w:p>
      <w:pPr>
        <w:pBdr>
          <w:bottom w:val="single" w:color="1F4E79" w:sz="12" w:space="6"/>
        </w:pBdr>
        <w:spacing w:after="60"/>
      </w:pPr>
      <w:r>
        <w:rPr>
          <w:i/>
          <w:iCs/>
          <w:color w:val="444444"/>
          <w:sz w:val="20"/>
          <w:szCs w:val="20"/>
        </w:rPr>
        <w:t xml:space="preserve">Knowledge Base Standard</w:t>
      </w:r>
    </w:p>
    <w:p>
      <w:pPr>
        <w:spacing w:after="240"/>
      </w:pPr>
      <w:r>
        <w:rPr>
          <w:color w:val="444444"/>
          <w:sz w:val="18"/>
          <w:szCs w:val="18"/>
        </w:rPr>
        <w:t xml:space="preserve">Owner: Windows Client / Endpoint Management   |   Applies to: all Intune objects</w:t>
      </w:r>
    </w:p>
    <w:p>
      <w:pPr>
        <w:pStyle w:val="Heading1"/>
        <w:spacing w:after="140" w:before="320"/>
      </w:pPr>
      <w:r>
        <w:rPr>
          <w:b/>
          <w:bCs/>
          <w:color w:val="1F4E79"/>
          <w:sz w:val="30"/>
          <w:szCs w:val="30"/>
        </w:rPr>
        <w:t xml:space="preserve">Purpose</w:t>
      </w:r>
    </w:p>
    <w:p>
      <w:pPr>
        <w:spacing w:after="120"/>
      </w:pPr>
      <w:r>
        <w:rPr>
          <w:sz w:val="21"/>
          <w:szCs w:val="21"/>
        </w:rPr>
        <w:t xml:space="preserve">This standard defines how you name and target Intune objects. It covers groups, filters, staging rings and the assignment rules you follow. Use it for every new group, policy, app and filter you create.</w:t>
      </w:r>
    </w:p>
    <w:p>
      <w:pPr>
        <w:pStyle w:val="Heading1"/>
        <w:spacing w:after="140" w:before="320"/>
      </w:pPr>
      <w:r>
        <w:rPr>
          <w:b/>
          <w:bCs/>
          <w:color w:val="1F4E79"/>
          <w:sz w:val="30"/>
          <w:szCs w:val="30"/>
        </w:rPr>
        <w:t xml:space="preserve">Core targeting model</w:t>
      </w:r>
    </w:p>
    <w:p>
      <w:pPr>
        <w:spacing w:after="120"/>
      </w:pPr>
      <w:r>
        <w:rPr>
          <w:sz w:val="21"/>
          <w:szCs w:val="21"/>
        </w:rPr>
        <w:t xml:space="preserve">You target policies and apps in three ways. Pick the right one for the job.</w:t>
      </w:r>
    </w:p>
    <w:p>
      <w:pPr>
        <w:pStyle w:val="ListParagraph"/>
        <w:numPr>
          <w:ilvl w:val="0"/>
          <w:numId w:val="2"/>
        </w:numPr>
        <w:spacing w:after="60"/>
      </w:pPr>
      <w:r>
        <w:rPr>
          <w:sz w:val="21"/>
          <w:szCs w:val="21"/>
        </w:rPr>
        <w:t xml:space="preserve">All Devices or All Users virtual groups. These are your default terminal target once a policy goes to production.</w:t>
      </w:r>
    </w:p>
    <w:p>
      <w:pPr>
        <w:pStyle w:val="ListParagraph"/>
        <w:numPr>
          <w:ilvl w:val="0"/>
          <w:numId w:val="2"/>
        </w:numPr>
        <w:spacing w:after="60"/>
      </w:pPr>
      <w:r>
        <w:rPr>
          <w:sz w:val="21"/>
          <w:szCs w:val="21"/>
        </w:rPr>
        <w:t xml:space="preserve">Assignment filters. Use these to narrow an All Devices or All Users assignment by device property.</w:t>
      </w:r>
    </w:p>
    <w:p>
      <w:pPr>
        <w:pStyle w:val="ListParagraph"/>
        <w:numPr>
          <w:ilvl w:val="0"/>
          <w:numId w:val="2"/>
        </w:numPr>
        <w:spacing w:after="60"/>
      </w:pPr>
      <w:r>
        <w:rPr>
          <w:sz w:val="21"/>
          <w:szCs w:val="21"/>
        </w:rPr>
        <w:t xml:space="preserve">Assigned groups. Use these for staging, for department or segment targeting, and for workloads filters do not support.</w:t>
      </w:r>
    </w:p>
    <w:p>
      <w:pPr>
        <w:spacing w:after="120"/>
      </w:pPr>
      <w:r>
        <w:rPr>
          <w:sz w:val="21"/>
          <w:szCs w:val="21"/>
        </w:rPr>
        <w:t xml:space="preserve">Microsoft recommends the All Devices and All Users virtual groups over custom "all" groups. The virtual groups need no Entra sync when a device enrolls. They scale better and add no membership processing delay.</w:t>
      </w:r>
    </w:p>
    <w:p>
      <w:pPr>
        <w:spacing w:after="120"/>
      </w:pPr>
      <w:r>
        <w:rPr>
          <w:i/>
          <w:iCs/>
          <w:color w:val="444444"/>
          <w:sz w:val="18"/>
          <w:szCs w:val="18"/>
        </w:rPr>
        <w:t xml:space="preserve">Source: Microsoft Learn. Performance recommendations for grouping, targeting and filtering in large Intune environments.</w:t>
      </w:r>
    </w:p>
    <w:p>
      <w:pPr>
        <w:pStyle w:val="Heading1"/>
        <w:spacing w:after="140" w:before="320"/>
      </w:pPr>
      <w:r>
        <w:rPr>
          <w:b/>
          <w:bCs/>
          <w:color w:val="1F4E79"/>
          <w:sz w:val="30"/>
          <w:szCs w:val="30"/>
        </w:rPr>
        <w:t xml:space="preserve">Filter rules</w:t>
      </w:r>
    </w:p>
    <w:p>
      <w:pPr>
        <w:pStyle w:val="ListParagraph"/>
        <w:numPr>
          <w:ilvl w:val="0"/>
          <w:numId w:val="2"/>
        </w:numPr>
        <w:spacing w:after="60"/>
      </w:pPr>
      <w:r>
        <w:rPr>
          <w:sz w:val="21"/>
          <w:szCs w:val="21"/>
        </w:rPr>
        <w:t xml:space="preserve">Make All Devices or All Users the terminal assignment target for any policy that goes broad.</w:t>
      </w:r>
    </w:p>
    <w:p>
      <w:pPr>
        <w:pStyle w:val="ListParagraph"/>
        <w:numPr>
          <w:ilvl w:val="0"/>
          <w:numId w:val="2"/>
        </w:numPr>
        <w:spacing w:after="60"/>
      </w:pPr>
      <w:r>
        <w:rPr>
          <w:sz w:val="21"/>
          <w:szCs w:val="21"/>
        </w:rPr>
        <w:t xml:space="preserve">Add a filter whenever a policy could apply to more device types than you want. The absence of a filter is what needs justification, not its presence.</w:t>
      </w:r>
    </w:p>
    <w:p>
      <w:pPr>
        <w:pStyle w:val="ListParagraph"/>
        <w:numPr>
          <w:ilvl w:val="0"/>
          <w:numId w:val="2"/>
        </w:numPr>
        <w:spacing w:after="60"/>
      </w:pPr>
      <w:r>
        <w:rPr>
          <w:sz w:val="21"/>
          <w:szCs w:val="21"/>
        </w:rPr>
        <w:t xml:space="preserve">Use filters for device-property scoping only. Examples: OS version, model, manufacturer, ownership, device category.</w:t>
      </w:r>
    </w:p>
    <w:p>
      <w:pPr>
        <w:pStyle w:val="ListParagraph"/>
        <w:numPr>
          <w:ilvl w:val="0"/>
          <w:numId w:val="2"/>
        </w:numPr>
        <w:spacing w:after="60"/>
      </w:pPr>
      <w:r>
        <w:rPr>
          <w:sz w:val="21"/>
          <w:szCs w:val="21"/>
        </w:rPr>
        <w:t xml:space="preserve">Reuse filters. Do not create a second filter for the same device type. You have a tenant limit of 200 filters.</w:t>
      </w:r>
    </w:p>
    <w:p>
      <w:pPr>
        <w:pStyle w:val="ListParagraph"/>
        <w:numPr>
          <w:ilvl w:val="0"/>
          <w:numId w:val="2"/>
        </w:numPr>
        <w:spacing w:after="60"/>
      </w:pPr>
      <w:r>
        <w:rPr>
          <w:sz w:val="21"/>
          <w:szCs w:val="21"/>
        </w:rPr>
        <w:t xml:space="preserve">Filters do not work everywhere. Autopilot profiles, some Endpoint Security profiles, platform scripts and MAM policies do not support them. Use assigned groups for those workloads.</w:t>
      </w:r>
    </w:p>
    <w:p>
      <w:pPr>
        <w:spacing w:after="120"/>
      </w:pPr>
      <w:r>
        <w:rPr>
          <w:sz w:val="21"/>
          <w:szCs w:val="21"/>
        </w:rPr>
        <w:t xml:space="preserve">Microsoft guidance: use assignment filters when you target on device properties. Use dynamic groups only for cross-workload needs like Conditional Access, licensing, Autopilot assignment or user grouping.</w:t>
      </w:r>
    </w:p>
    <w:p>
      <w:pPr>
        <w:spacing w:after="120"/>
      </w:pPr>
      <w:r>
        <w:rPr>
          <w:i/>
          <w:iCs/>
          <w:color w:val="444444"/>
          <w:sz w:val="18"/>
          <w:szCs w:val="18"/>
        </w:rPr>
        <w:t xml:space="preserve">Source: Microsoft Learn. Create assignment filters in Intune. Filters overview.</w:t>
      </w:r>
    </w:p>
    <w:p>
      <w:pPr>
        <w:pStyle w:val="Heading1"/>
        <w:spacing w:after="140" w:before="320"/>
      </w:pPr>
      <w:r>
        <w:rPr>
          <w:b/>
          <w:bCs/>
          <w:color w:val="1F4E79"/>
          <w:sz w:val="30"/>
          <w:szCs w:val="30"/>
        </w:rPr>
        <w:t xml:space="preserve">Exclusion rules</w:t>
      </w:r>
    </w:p>
    <w:p>
      <w:pPr>
        <w:pStyle w:val="ListParagraph"/>
        <w:numPr>
          <w:ilvl w:val="0"/>
          <w:numId w:val="2"/>
        </w:numPr>
        <w:spacing w:after="60"/>
      </w:pPr>
      <w:r>
        <w:rPr>
          <w:sz w:val="21"/>
          <w:szCs w:val="21"/>
        </w:rPr>
        <w:t xml:space="preserve">Do not assign to a user group and exclude a device group, or the reverse. Microsoft does not support this. Excluded group membership is not instant, so devices receive assignments they should not.</w:t>
      </w:r>
    </w:p>
    <w:p>
      <w:pPr>
        <w:pStyle w:val="ListParagraph"/>
        <w:numPr>
          <w:ilvl w:val="0"/>
          <w:numId w:val="2"/>
        </w:numPr>
        <w:spacing w:after="60"/>
      </w:pPr>
      <w:r>
        <w:rPr>
          <w:sz w:val="21"/>
          <w:szCs w:val="21"/>
        </w:rPr>
        <w:t xml:space="preserve">Match object types. Include users with users, devices with devices.</w:t>
      </w:r>
    </w:p>
    <w:p>
      <w:pPr>
        <w:pStyle w:val="ListParagraph"/>
        <w:numPr>
          <w:ilvl w:val="0"/>
          <w:numId w:val="2"/>
        </w:numPr>
        <w:spacing w:after="60"/>
      </w:pPr>
      <w:r>
        <w:rPr>
          <w:sz w:val="21"/>
          <w:szCs w:val="21"/>
        </w:rPr>
        <w:t xml:space="preserve">Prefer a filter-based exclude over an exclusion group where the workload supports filters.</w:t>
      </w:r>
    </w:p>
    <w:p>
      <w:pPr>
        <w:spacing w:after="120"/>
      </w:pPr>
      <w:r>
        <w:rPr>
          <w:i/>
          <w:iCs/>
          <w:color w:val="444444"/>
          <w:sz w:val="18"/>
          <w:szCs w:val="18"/>
        </w:rPr>
        <w:t xml:space="preserve">Source: Microsoft Learn. Performance recommendations for grouping, targeting and filtering.</w:t>
      </w:r>
    </w:p>
    <w:p>
      <w:pPr>
        <w:pStyle w:val="Heading1"/>
        <w:spacing w:after="140" w:before="320"/>
      </w:pPr>
      <w:r>
        <w:rPr>
          <w:b/>
          <w:bCs/>
          <w:color w:val="1F4E79"/>
          <w:sz w:val="30"/>
          <w:szCs w:val="30"/>
        </w:rPr>
        <w:t xml:space="preserve">Staging ring model</w:t>
      </w:r>
    </w:p>
    <w:p>
      <w:pPr>
        <w:spacing w:after="120"/>
      </w:pPr>
      <w:r>
        <w:rPr>
          <w:sz w:val="21"/>
          <w:szCs w:val="21"/>
        </w:rPr>
        <w:t xml:space="preserve">You use a fixed set of ring groups per Intune function. You keep the same members in each ring and reuse them across deployments.</w:t>
      </w:r>
    </w:p>
    <w:p>
      <w:pPr>
        <w:pStyle w:val="ListParagraph"/>
        <w:numPr>
          <w:ilvl w:val="0"/>
          <w:numId w:val="2"/>
        </w:numPr>
        <w:spacing w:after="60"/>
      </w:pPr>
      <w:r>
        <w:rPr>
          <w:sz w:val="21"/>
          <w:szCs w:val="21"/>
        </w:rPr>
        <w:t xml:space="preserve">Rings are permanent. You create them once. You do not create or delete a ring group per deployment.</w:t>
      </w:r>
    </w:p>
    <w:p>
      <w:pPr>
        <w:pStyle w:val="ListParagraph"/>
        <w:numPr>
          <w:ilvl w:val="0"/>
          <w:numId w:val="2"/>
        </w:numPr>
        <w:spacing w:after="60"/>
      </w:pPr>
      <w:r>
        <w:rPr>
          <w:sz w:val="21"/>
          <w:szCs w:val="21"/>
        </w:rPr>
        <w:t xml:space="preserve">Ring populations do not overlap. A device sits in one ring only.</w:t>
      </w:r>
    </w:p>
    <w:p>
      <w:pPr>
        <w:pStyle w:val="ListParagraph"/>
        <w:numPr>
          <w:ilvl w:val="0"/>
          <w:numId w:val="2"/>
        </w:numPr>
        <w:spacing w:after="60"/>
      </w:pPr>
      <w:r>
        <w:rPr>
          <w:sz w:val="21"/>
          <w:szCs w:val="21"/>
        </w:rPr>
        <w:t xml:space="preserve">You own the staging groups during staging. You manage their membership directly. You raise a request only when you productionize.</w:t>
      </w:r>
    </w:p>
    <w:p>
      <w:pPr>
        <w:pStyle w:val="ListParagraph"/>
        <w:numPr>
          <w:ilvl w:val="0"/>
          <w:numId w:val="2"/>
        </w:numPr>
        <w:spacing w:after="60"/>
      </w:pPr>
      <w:r>
        <w:rPr>
          <w:sz w:val="21"/>
          <w:szCs w:val="21"/>
        </w:rPr>
        <w:t xml:space="preserve">Six engineers can assign different policies to the same ring group in parallel. A group takes unlimited simultaneous assignments, so this does not collide.</w:t>
      </w:r>
    </w:p>
    <w:p>
      <w:pPr>
        <w:spacing w:after="120"/>
      </w:pPr>
      <w:r>
        <w:rPr>
          <w:sz w:val="21"/>
          <w:szCs w:val="21"/>
        </w:rPr>
        <w:t xml:space="preserve">Functions that use rings today: Configuration, Applications, Defender, Windows Updates. This list grows as you migrate more workloads.</w:t>
      </w:r>
    </w:p>
    <w:p>
      <w:pPr>
        <w:pStyle w:val="Heading2"/>
        <w:spacing w:after="100" w:before="240"/>
      </w:pPr>
      <w:r>
        <w:rPr>
          <w:b/>
          <w:bCs/>
          <w:color w:val="444444"/>
          <w:sz w:val="24"/>
          <w:szCs w:val="24"/>
        </w:rPr>
        <w:t xml:space="preserve">Ring progression</w:t>
      </w:r>
    </w:p>
    <w:p>
      <w:pPr>
        <w:pStyle w:val="ListParagraph"/>
        <w:numPr>
          <w:ilvl w:val="0"/>
          <w:numId w:val="2"/>
        </w:numPr>
        <w:spacing w:after="60"/>
      </w:pPr>
      <w:r>
        <w:rPr>
          <w:sz w:val="21"/>
          <w:szCs w:val="21"/>
        </w:rPr>
        <w:t xml:space="preserve">Progression is additive. When a deployment passes RNG1, you add the RNG2 assignment. You leave RNG1 in place.</w:t>
      </w:r>
    </w:p>
    <w:p>
      <w:pPr>
        <w:pStyle w:val="ListParagraph"/>
        <w:numPr>
          <w:ilvl w:val="0"/>
          <w:numId w:val="2"/>
        </w:numPr>
        <w:spacing w:after="60"/>
      </w:pPr>
      <w:r>
        <w:rPr>
          <w:sz w:val="21"/>
          <w:szCs w:val="21"/>
        </w:rPr>
        <w:t xml:space="preserve">You never remove a ring assignment mid-flight. Removing it un-targets your pilot devices and reverts their state.</w:t>
      </w:r>
    </w:p>
    <w:p>
      <w:pPr>
        <w:pStyle w:val="ListParagraph"/>
        <w:numPr>
          <w:ilvl w:val="0"/>
          <w:numId w:val="2"/>
        </w:numPr>
        <w:spacing w:after="60"/>
      </w:pPr>
      <w:r>
        <w:rPr>
          <w:sz w:val="21"/>
          <w:szCs w:val="21"/>
        </w:rPr>
        <w:t xml:space="preserve">At production cutover, you switch to All Devices or All Users, then remove the ring assignments in one cleanup step.</w:t>
      </w:r>
    </w:p>
    <w:p>
      <w:pPr>
        <w:spacing w:after="120"/>
      </w:pPr>
      <w:r>
        <w:rPr>
          <w:sz w:val="21"/>
          <w:szCs w:val="21"/>
        </w:rPr>
        <w:t xml:space="preserve">This matches how Windows Update rings, Autopatch and SCCM phased deployments work.</w:t>
      </w:r>
    </w:p>
    <w:p>
      <w:pPr>
        <w:pStyle w:val="Heading1"/>
        <w:spacing w:after="140" w:before="320"/>
      </w:pPr>
      <w:r>
        <w:rPr>
          <w:b/>
          <w:bCs/>
          <w:color w:val="1F4E79"/>
          <w:sz w:val="30"/>
          <w:szCs w:val="30"/>
        </w:rPr>
        <w:t xml:space="preserve">App targeting rule</w:t>
      </w:r>
    </w:p>
    <w:p>
      <w:pPr>
        <w:pStyle w:val="ListParagraph"/>
        <w:numPr>
          <w:ilvl w:val="0"/>
          <w:numId w:val="2"/>
        </w:numPr>
        <w:spacing w:after="60"/>
      </w:pPr>
      <w:r>
        <w:rPr>
          <w:sz w:val="21"/>
          <w:szCs w:val="21"/>
        </w:rPr>
        <w:t xml:space="preserve">Required app installs target devices. This gives you deterministic ring behavior. A named machine gets the app at its ring stage.</w:t>
      </w:r>
    </w:p>
    <w:p>
      <w:pPr>
        <w:pStyle w:val="ListParagraph"/>
        <w:numPr>
          <w:ilvl w:val="0"/>
          <w:numId w:val="2"/>
        </w:numPr>
        <w:spacing w:after="60"/>
      </w:pPr>
      <w:r>
        <w:rPr>
          <w:sz w:val="21"/>
          <w:szCs w:val="21"/>
        </w:rPr>
        <w:t xml:space="preserve">Available app installs target users. Users opt in through Company Portal. This also gives you a zero-group pilot path for low-risk apps.</w:t>
      </w:r>
    </w:p>
    <w:p>
      <w:pPr>
        <w:pStyle w:val="Heading1"/>
        <w:spacing w:after="140" w:before="320"/>
      </w:pPr>
      <w:r>
        <w:rPr>
          <w:b/>
          <w:bCs/>
          <w:color w:val="1F4E79"/>
          <w:sz w:val="30"/>
          <w:szCs w:val="30"/>
        </w:rPr>
        <w:t xml:space="preserve">Deployment scenarios</w:t>
      </w:r>
    </w:p>
    <w:p>
      <w:pPr>
        <w:pStyle w:val="Heading2"/>
        <w:spacing w:after="100" w:before="240"/>
      </w:pPr>
      <w:r>
        <w:rPr>
          <w:b/>
          <w:bCs/>
          <w:color w:val="444444"/>
          <w:sz w:val="24"/>
          <w:szCs w:val="24"/>
        </w:rPr>
        <w:t xml:space="preserve">Scenario 1: policy goes to all devices in waves</w:t>
      </w:r>
    </w:p>
    <w:p>
      <w:pPr>
        <w:pStyle w:val="ListParagraph"/>
        <w:numPr>
          <w:ilvl w:val="0"/>
          <w:numId w:val="2"/>
        </w:numPr>
        <w:spacing w:after="60"/>
      </w:pPr>
      <w:r>
        <w:rPr>
          <w:sz w:val="21"/>
          <w:szCs w:val="21"/>
        </w:rPr>
        <w:t xml:space="preserve">Stage the policy through your permanent ring groups.</w:t>
      </w:r>
    </w:p>
    <w:p>
      <w:pPr>
        <w:pStyle w:val="ListParagraph"/>
        <w:numPr>
          <w:ilvl w:val="0"/>
          <w:numId w:val="2"/>
        </w:numPr>
        <w:spacing w:after="60"/>
      </w:pPr>
      <w:r>
        <w:rPr>
          <w:sz w:val="21"/>
          <w:szCs w:val="21"/>
        </w:rPr>
        <w:t xml:space="preserve">Populate each ring in waves by editing membership.</w:t>
      </w:r>
    </w:p>
    <w:p>
      <w:pPr>
        <w:pStyle w:val="ListParagraph"/>
        <w:numPr>
          <w:ilvl w:val="0"/>
          <w:numId w:val="2"/>
        </w:numPr>
        <w:spacing w:after="60"/>
      </w:pPr>
      <w:r>
        <w:rPr>
          <w:sz w:val="21"/>
          <w:szCs w:val="21"/>
        </w:rPr>
        <w:t xml:space="preserve">At completion, assign to All Devices or All Users and remove the ring assignments.</w:t>
      </w:r>
    </w:p>
    <w:p>
      <w:pPr>
        <w:pStyle w:val="Heading2"/>
        <w:spacing w:after="100" w:before="240"/>
      </w:pPr>
      <w:r>
        <w:rPr>
          <w:b/>
          <w:bCs/>
          <w:color w:val="444444"/>
          <w:sz w:val="24"/>
          <w:szCs w:val="24"/>
        </w:rPr>
        <w:t xml:space="preserve">Scenario 2: policy targets a department or segment</w:t>
      </w:r>
    </w:p>
    <w:p>
      <w:pPr>
        <w:pStyle w:val="ListParagraph"/>
        <w:numPr>
          <w:ilvl w:val="0"/>
          <w:numId w:val="2"/>
        </w:numPr>
        <w:spacing w:after="60"/>
      </w:pPr>
      <w:r>
        <w:rPr>
          <w:sz w:val="21"/>
          <w:szCs w:val="21"/>
        </w:rPr>
        <w:t xml:space="preserve">Create one assigned group for that policy. It lives as long as the policy.</w:t>
      </w:r>
    </w:p>
    <w:p>
      <w:pPr>
        <w:pStyle w:val="ListParagraph"/>
        <w:numPr>
          <w:ilvl w:val="0"/>
          <w:numId w:val="2"/>
        </w:numPr>
        <w:spacing w:after="60"/>
      </w:pPr>
      <w:r>
        <w:rPr>
          <w:sz w:val="21"/>
          <w:szCs w:val="21"/>
        </w:rPr>
        <w:t xml:space="preserve">Deploy in phases through that group if you need to.</w:t>
      </w:r>
    </w:p>
    <w:p>
      <w:pPr>
        <w:pStyle w:val="Heading2"/>
        <w:spacing w:after="100" w:before="240"/>
      </w:pPr>
      <w:r>
        <w:rPr>
          <w:b/>
          <w:bCs/>
          <w:color w:val="444444"/>
          <w:sz w:val="24"/>
          <w:szCs w:val="24"/>
        </w:rPr>
        <w:t xml:space="preserve">Scenario 3: policy targets a device type, for example Windows 11 25H2</w:t>
      </w:r>
    </w:p>
    <w:p>
      <w:pPr>
        <w:pStyle w:val="ListParagraph"/>
        <w:numPr>
          <w:ilvl w:val="0"/>
          <w:numId w:val="2"/>
        </w:numPr>
        <w:spacing w:after="60"/>
      </w:pPr>
      <w:r>
        <w:rPr>
          <w:sz w:val="21"/>
          <w:szCs w:val="21"/>
        </w:rPr>
        <w:t xml:space="preserve">Stage through your permanent ring groups.</w:t>
      </w:r>
    </w:p>
    <w:p>
      <w:pPr>
        <w:pStyle w:val="ListParagraph"/>
        <w:numPr>
          <w:ilvl w:val="0"/>
          <w:numId w:val="2"/>
        </w:numPr>
        <w:spacing w:after="60"/>
      </w:pPr>
      <w:r>
        <w:rPr>
          <w:sz w:val="21"/>
          <w:szCs w:val="21"/>
        </w:rPr>
        <w:t xml:space="preserve">Add a filter for the device type.</w:t>
      </w:r>
    </w:p>
    <w:p>
      <w:pPr>
        <w:pStyle w:val="ListParagraph"/>
        <w:numPr>
          <w:ilvl w:val="0"/>
          <w:numId w:val="2"/>
        </w:numPr>
        <w:spacing w:after="60"/>
      </w:pPr>
      <w:r>
        <w:rPr>
          <w:sz w:val="21"/>
          <w:szCs w:val="21"/>
        </w:rPr>
        <w:t xml:space="preserve">At completion, assign to All Devices with the filter applied.</w:t>
      </w:r>
    </w:p>
    <w:p>
      <w:pPr>
        <w:pStyle w:val="Heading1"/>
        <w:spacing w:after="140" w:before="320"/>
      </w:pPr>
      <w:r>
        <w:rPr>
          <w:b/>
          <w:bCs/>
          <w:color w:val="1F4E79"/>
          <w:sz w:val="30"/>
          <w:szCs w:val="30"/>
        </w:rPr>
        <w:t xml:space="preserve">Naming grammar</w:t>
      </w:r>
    </w:p>
    <w:p>
      <w:pPr>
        <w:spacing w:after="120"/>
      </w:pPr>
      <w:r>
        <w:rPr>
          <w:sz w:val="21"/>
          <w:szCs w:val="21"/>
        </w:rPr>
        <w:t xml:space="preserve">Every object name follows one token order.</w:t>
      </w:r>
    </w:p>
    <w:p>
      <w:pPr>
        <w:spacing w:after="40"/>
      </w:pPr>
      <w:r>
        <w:rPr>
          <w:rFonts w:ascii="Consolas" w:cs="Consolas" w:eastAsia="Consolas" w:hAnsi="Consolas"/>
          <w:color w:val="1F4E79"/>
          <w:sz w:val="19"/>
          <w:szCs w:val="19"/>
        </w:rPr>
        <w:t xml:space="preserve">PREFIX_SCOPE-PLATFORM-TARGET-FUNCTION-DESCRIPTOR</w:t>
      </w:r>
    </w:p>
    <w:p>
      <w:pPr>
        <w:pStyle w:val="ListParagraph"/>
        <w:numPr>
          <w:ilvl w:val="0"/>
          <w:numId w:val="2"/>
        </w:numPr>
        <w:spacing w:after="60"/>
      </w:pPr>
      <w:r>
        <w:rPr>
          <w:sz w:val="21"/>
          <w:szCs w:val="21"/>
        </w:rPr>
        <w:t xml:space="preserve">PREFIX. Use T_ for any test object. Omit for production.</w:t>
      </w:r>
    </w:p>
    <w:p>
      <w:pPr>
        <w:pStyle w:val="ListParagraph"/>
        <w:numPr>
          <w:ilvl w:val="0"/>
          <w:numId w:val="2"/>
        </w:numPr>
        <w:spacing w:after="60"/>
      </w:pPr>
      <w:r>
        <w:rPr>
          <w:sz w:val="21"/>
          <w:szCs w:val="21"/>
        </w:rPr>
        <w:t xml:space="preserve">SCOPE. MDM for enrolled-device workloads. MAM for app protection.</w:t>
      </w:r>
    </w:p>
    <w:p>
      <w:pPr>
        <w:pStyle w:val="ListParagraph"/>
        <w:numPr>
          <w:ilvl w:val="0"/>
          <w:numId w:val="2"/>
        </w:numPr>
        <w:spacing w:after="60"/>
      </w:pPr>
      <w:r>
        <w:rPr>
          <w:sz w:val="21"/>
          <w:szCs w:val="21"/>
        </w:rPr>
        <w:t xml:space="preserve">PLATFORM. WIN, IOS, AND, MAC.</w:t>
      </w:r>
    </w:p>
    <w:p>
      <w:pPr>
        <w:pStyle w:val="ListParagraph"/>
        <w:numPr>
          <w:ilvl w:val="0"/>
          <w:numId w:val="2"/>
        </w:numPr>
        <w:spacing w:after="60"/>
      </w:pPr>
      <w:r>
        <w:rPr>
          <w:sz w:val="21"/>
          <w:szCs w:val="21"/>
        </w:rPr>
        <w:t xml:space="preserve">TARGET. DEVICES or USERS. Use the full word.</w:t>
      </w:r>
    </w:p>
    <w:p>
      <w:pPr>
        <w:pStyle w:val="ListParagraph"/>
        <w:numPr>
          <w:ilvl w:val="0"/>
          <w:numId w:val="2"/>
        </w:numPr>
        <w:spacing w:after="60"/>
      </w:pPr>
      <w:r>
        <w:rPr>
          <w:sz w:val="21"/>
          <w:szCs w:val="21"/>
        </w:rPr>
        <w:t xml:space="preserve">FUNCTION. Short code. See the dictionary below.</w:t>
      </w:r>
    </w:p>
    <w:p>
      <w:pPr>
        <w:pStyle w:val="ListParagraph"/>
        <w:numPr>
          <w:ilvl w:val="0"/>
          <w:numId w:val="2"/>
        </w:numPr>
        <w:spacing w:after="60"/>
      </w:pPr>
      <w:r>
        <w:rPr>
          <w:sz w:val="21"/>
          <w:szCs w:val="21"/>
        </w:rPr>
        <w:t xml:space="preserve">DESCRIPTOR. PascalCase. No hyphens inside the descriptor. The hyphen only separates tokens.</w:t>
      </w:r>
    </w:p>
    <w:p>
      <w:pPr>
        <w:spacing w:after="120"/>
      </w:pPr>
      <w:r>
        <w:rPr>
          <w:b/>
          <w:bCs/>
          <w:sz w:val="21"/>
          <w:szCs w:val="21"/>
        </w:rPr>
        <w:t xml:space="preserve">Rules:</w:t>
      </w:r>
    </w:p>
    <w:p>
      <w:pPr>
        <w:pStyle w:val="ListParagraph"/>
        <w:numPr>
          <w:ilvl w:val="0"/>
          <w:numId w:val="2"/>
        </w:numPr>
        <w:spacing w:after="60"/>
      </w:pPr>
      <w:r>
        <w:rPr>
          <w:sz w:val="21"/>
          <w:szCs w:val="21"/>
        </w:rPr>
        <w:t xml:space="preserve">One spelling per token. Do not mix singular and plural forms of the same token.</w:t>
      </w:r>
    </w:p>
    <w:p>
      <w:pPr>
        <w:pStyle w:val="ListParagraph"/>
        <w:numPr>
          <w:ilvl w:val="0"/>
          <w:numId w:val="2"/>
        </w:numPr>
        <w:spacing w:after="60"/>
      </w:pPr>
      <w:r>
        <w:rPr>
          <w:sz w:val="21"/>
          <w:szCs w:val="21"/>
        </w:rPr>
        <w:t xml:space="preserve">Use country codes, not full country names. MX, not Mexico.</w:t>
      </w:r>
    </w:p>
    <w:p>
      <w:pPr>
        <w:pStyle w:val="ListParagraph"/>
        <w:numPr>
          <w:ilvl w:val="0"/>
          <w:numId w:val="2"/>
        </w:numPr>
        <w:spacing w:after="60"/>
      </w:pPr>
      <w:r>
        <w:rPr>
          <w:sz w:val="21"/>
          <w:szCs w:val="21"/>
        </w:rPr>
        <w:t xml:space="preserve">Give every group and filter a full description that states its purpose and the GUID of the policy or app it serves.</w:t>
      </w:r>
    </w:p>
    <w:p>
      <w:pPr>
        <w:pStyle w:val="Heading1"/>
        <w:spacing w:after="140" w:before="320"/>
      </w:pPr>
      <w:r>
        <w:rPr>
          <w:b/>
          <w:bCs/>
          <w:color w:val="1F4E79"/>
          <w:sz w:val="30"/>
          <w:szCs w:val="30"/>
        </w:rPr>
        <w:t xml:space="preserve">Naming the policies themselves</w:t>
      </w:r>
    </w:p>
    <w:p>
      <w:pPr>
        <w:spacing w:after="120"/>
      </w:pPr>
      <w:r>
        <w:rPr>
          <w:sz w:val="21"/>
          <w:szCs w:val="21"/>
        </w:rPr>
        <w:t xml:space="preserve">Policies follow the same grammar as groups. One system, not two. A policy and the group that targets it share the same token order, so they sort next to each other in any list.</w:t>
      </w:r>
    </w:p>
    <w:p>
      <w:pPr>
        <w:spacing w:after="40"/>
      </w:pPr>
      <w:r>
        <w:rPr>
          <w:rFonts w:ascii="Consolas" w:cs="Consolas" w:eastAsia="Consolas" w:hAnsi="Consolas"/>
          <w:color w:val="1F4E79"/>
          <w:sz w:val="19"/>
          <w:szCs w:val="19"/>
        </w:rPr>
        <w:t xml:space="preserve">PREFIX_SCOPE-PLATFORM-TARGET-FUNCTION-DESCRIPTOR</w:t>
      </w:r>
    </w:p>
    <w:p>
      <w:pPr>
        <w:spacing w:after="120"/>
      </w:pPr>
      <w:r>
        <w:rPr>
          <w:b/>
          <w:bCs/>
          <w:sz w:val="21"/>
          <w:szCs w:val="21"/>
        </w:rPr>
        <w:t xml:space="preserve">Rules for policy names:</w:t>
      </w:r>
    </w:p>
    <w:p>
      <w:pPr>
        <w:pStyle w:val="ListParagraph"/>
        <w:numPr>
          <w:ilvl w:val="0"/>
          <w:numId w:val="2"/>
        </w:numPr>
        <w:spacing w:after="60"/>
      </w:pPr>
      <w:r>
        <w:rPr>
          <w:sz w:val="21"/>
          <w:szCs w:val="21"/>
        </w:rPr>
        <w:t xml:space="preserve">Put the most general token first and the most specific last. Platform before function, function before descriptor. This makes lists sort into logical clusters.</w:t>
      </w:r>
    </w:p>
    <w:p>
      <w:pPr>
        <w:pStyle w:val="ListParagraph"/>
        <w:numPr>
          <w:ilvl w:val="0"/>
          <w:numId w:val="2"/>
        </w:numPr>
        <w:spacing w:after="60"/>
      </w:pPr>
      <w:r>
        <w:rPr>
          <w:sz w:val="21"/>
          <w:szCs w:val="21"/>
        </w:rPr>
        <w:t xml:space="preserve">Include only necessary criteria. Drop anything already shown in a dedicated Intune column or anything duplicated by another token. Do not add the tenant name or the profile type twice.</w:t>
      </w:r>
    </w:p>
    <w:p>
      <w:pPr>
        <w:pStyle w:val="ListParagraph"/>
        <w:numPr>
          <w:ilvl w:val="0"/>
          <w:numId w:val="2"/>
        </w:numPr>
        <w:spacing w:after="60"/>
      </w:pPr>
      <w:r>
        <w:rPr>
          <w:sz w:val="21"/>
          <w:szCs w:val="21"/>
        </w:rPr>
        <w:t xml:space="preserve">Do not put app or policy version numbers in the name. Intune has a dedicated version field, and app versions show in Company Portal. Version in the name goes stale and forces renames.</w:t>
      </w:r>
    </w:p>
    <w:p>
      <w:pPr>
        <w:pStyle w:val="ListParagraph"/>
        <w:numPr>
          <w:ilvl w:val="0"/>
          <w:numId w:val="2"/>
        </w:numPr>
        <w:spacing w:after="60"/>
      </w:pPr>
      <w:r>
        <w:rPr>
          <w:sz w:val="21"/>
          <w:szCs w:val="21"/>
        </w:rPr>
        <w:t xml:space="preserve">Use the T_ prefix for test and pilot policies. Drop it for production. This is your only environment indicator.</w:t>
      </w:r>
    </w:p>
    <w:p>
      <w:pPr>
        <w:pStyle w:val="ListParagraph"/>
        <w:numPr>
          <w:ilvl w:val="0"/>
          <w:numId w:val="2"/>
        </w:numPr>
        <w:spacing w:after="60"/>
      </w:pPr>
      <w:r>
        <w:rPr>
          <w:sz w:val="21"/>
          <w:szCs w:val="21"/>
        </w:rPr>
        <w:t xml:space="preserve">Use the descriptor to state purpose, not settings. CFG-EdgeBrowserDefault, not CFG-EdgeHomepageAndBookmarksAndProxy.</w:t>
      </w:r>
    </w:p>
    <w:p>
      <w:pPr>
        <w:pStyle w:val="ListParagraph"/>
        <w:numPr>
          <w:ilvl w:val="0"/>
          <w:numId w:val="2"/>
        </w:numPr>
        <w:spacing w:after="60"/>
      </w:pPr>
      <w:r>
        <w:rPr>
          <w:sz w:val="21"/>
          <w:szCs w:val="21"/>
        </w:rPr>
        <w:t xml:space="preserve">Applications have two names. Keep them separate. The object name follows the full convention for admin sorting and search. The display name is the clean product name users see in Company Portal.</w:t>
      </w:r>
    </w:p>
    <w:p>
      <w:pPr>
        <w:pStyle w:val="ListParagraph"/>
        <w:numPr>
          <w:ilvl w:val="0"/>
          <w:numId w:val="2"/>
        </w:numPr>
        <w:spacing w:after="60"/>
      </w:pPr>
      <w:r>
        <w:rPr>
          <w:sz w:val="21"/>
          <w:szCs w:val="21"/>
        </w:rPr>
        <w:t xml:space="preserve">Match the target token to the real assignment. A device-targeted config policy uses DEVICES. A user-targeted app uses USERS.</w:t>
      </w:r>
    </w:p>
    <w:p>
      <w:pPr>
        <w:pStyle w:val="ListParagraph"/>
        <w:numPr>
          <w:ilvl w:val="0"/>
          <w:numId w:val="2"/>
        </w:numPr>
        <w:spacing w:after="60"/>
      </w:pPr>
      <w:r>
        <w:rPr>
          <w:sz w:val="21"/>
          <w:szCs w:val="21"/>
        </w:rPr>
        <w:t xml:space="preserve">Never use spaces, periods or special characters. They break scripts and Graph queries. PascalCase the descriptor and hyphen-separate the tokens.</w:t>
      </w:r>
    </w:p>
    <w:p>
      <w:pPr>
        <w:spacing w:after="120"/>
      </w:pPr>
      <w:r>
        <w:rPr>
          <w:b/>
          <w:bCs/>
          <w:sz w:val="21"/>
          <w:szCs w:val="21"/>
        </w:rPr>
        <w:t xml:space="preserve">Policy naming examples:</w:t>
      </w:r>
    </w:p>
    <w:p>
      <w:pPr>
        <w:spacing w:after="40"/>
      </w:pPr>
      <w:r>
        <w:rPr>
          <w:rFonts w:ascii="Consolas" w:cs="Consolas" w:eastAsia="Consolas" w:hAnsi="Consolas"/>
          <w:color w:val="1F4E79"/>
          <w:sz w:val="19"/>
          <w:szCs w:val="19"/>
        </w:rPr>
        <w:t xml:space="preserve">MDM-WIN-DEVICES-CFG-DefaultPolicy</w:t>
      </w:r>
    </w:p>
    <w:p>
      <w:pPr>
        <w:spacing w:after="40"/>
      </w:pPr>
      <w:r>
        <w:rPr>
          <w:rFonts w:ascii="Consolas" w:cs="Consolas" w:eastAsia="Consolas" w:hAnsi="Consolas"/>
          <w:color w:val="1F4E79"/>
          <w:sz w:val="19"/>
          <w:szCs w:val="19"/>
        </w:rPr>
        <w:t xml:space="preserve">MDM-WIN-USERS-CFG-MX-EdgeBrowserDefault</w:t>
      </w:r>
    </w:p>
    <w:p>
      <w:pPr>
        <w:spacing w:after="40"/>
      </w:pPr>
      <w:r>
        <w:rPr>
          <w:rFonts w:ascii="Consolas" w:cs="Consolas" w:eastAsia="Consolas" w:hAnsi="Consolas"/>
          <w:color w:val="1F4E79"/>
          <w:sz w:val="19"/>
          <w:szCs w:val="19"/>
        </w:rPr>
        <w:t xml:space="preserve">MDM-WIN-DEVICES-CMP-Default</w:t>
      </w:r>
    </w:p>
    <w:p>
      <w:pPr>
        <w:spacing w:after="40"/>
      </w:pPr>
      <w:r>
        <w:rPr>
          <w:rFonts w:ascii="Consolas" w:cs="Consolas" w:eastAsia="Consolas" w:hAnsi="Consolas"/>
          <w:color w:val="1F4E79"/>
          <w:sz w:val="19"/>
          <w:szCs w:val="19"/>
        </w:rPr>
        <w:t xml:space="preserve">MDM-WIN-DEVICES-ASR-StandardRules</w:t>
      </w:r>
    </w:p>
    <w:p>
      <w:pPr>
        <w:spacing w:after="40"/>
      </w:pPr>
      <w:r>
        <w:rPr>
          <w:rFonts w:ascii="Consolas" w:cs="Consolas" w:eastAsia="Consolas" w:hAnsi="Consolas"/>
          <w:color w:val="1F4E79"/>
          <w:sz w:val="19"/>
          <w:szCs w:val="19"/>
        </w:rPr>
        <w:t xml:space="preserve">MDM-WIN-DEVICES-WFU-24H2</w:t>
      </w:r>
    </w:p>
    <w:p>
      <w:pPr>
        <w:spacing w:after="120"/>
      </w:pPr>
      <w:r>
        <w:rPr>
          <w:sz w:val="19"/>
          <w:szCs w:val="19"/>
        </w:rPr>
        <w:t xml:space="preserve">Because Intune has weak version control, use the description field for state and history, not the name. Record the change, the date and the owner there. See the Descriptions section.</w:t>
      </w:r>
    </w:p>
    <w:p>
      <w:pPr>
        <w:spacing w:after="120"/>
      </w:pPr>
      <w:r>
        <w:rPr>
          <w:sz w:val="19"/>
          <w:szCs w:val="19"/>
        </w:rPr>
        <w:t xml:space="preserve">A device-context policy and its target group share the same name. Portal context tells you which one you are looking at. If you want them visually distinct, add -GRP to group names only. Most tenants skip this.</w:t>
      </w:r>
    </w:p>
    <w:p>
      <w:pPr>
        <w:pStyle w:val="Heading2"/>
        <w:spacing w:after="100" w:before="240"/>
      </w:pPr>
      <w:r>
        <w:rPr>
          <w:b/>
          <w:bCs/>
          <w:color w:val="444444"/>
          <w:sz w:val="24"/>
          <w:szCs w:val="24"/>
        </w:rPr>
        <w:t xml:space="preserve">Application names: object name versus display name</w:t>
      </w:r>
    </w:p>
    <w:p>
      <w:pPr>
        <w:spacing w:after="120"/>
      </w:pPr>
      <w:r>
        <w:rPr>
          <w:sz w:val="21"/>
          <w:szCs w:val="21"/>
        </w:rPr>
        <w:t xml:space="preserve">An application has two names. They serve different audiences. Set both.</w:t>
      </w:r>
    </w:p>
    <w:p>
      <w:pPr>
        <w:pStyle w:val="ListParagraph"/>
        <w:numPr>
          <w:ilvl w:val="0"/>
          <w:numId w:val="2"/>
        </w:numPr>
        <w:spacing w:after="60"/>
      </w:pPr>
      <w:r>
        <w:rPr>
          <w:sz w:val="21"/>
          <w:szCs w:val="21"/>
        </w:rPr>
        <w:t xml:space="preserve">Object name. Admin-side. Follows the full convention so apps sort and search in the console. Example: MDM-WIN-USERS-APP-7Zip. Test example: T_MDM-WIN-USERS-APP-7Zip.</w:t>
      </w:r>
    </w:p>
    <w:p>
      <w:pPr>
        <w:pStyle w:val="ListParagraph"/>
        <w:numPr>
          <w:ilvl w:val="0"/>
          <w:numId w:val="2"/>
        </w:numPr>
        <w:spacing w:after="60"/>
      </w:pPr>
      <w:r>
        <w:rPr>
          <w:sz w:val="21"/>
          <w:szCs w:val="21"/>
        </w:rPr>
        <w:t xml:space="preserve">Display name. User-side. The clean product name shown in Company Portal during install and in the user app list. Example: 7-Zip. No prefix, no tokens, no platform code.</w:t>
      </w:r>
    </w:p>
    <w:p>
      <w:pPr>
        <w:spacing w:after="120"/>
      </w:pPr>
      <w:r>
        <w:rPr>
          <w:sz w:val="19"/>
          <w:szCs w:val="19"/>
        </w:rPr>
        <w:t xml:space="preserve">Intune gives you a separate display name field for Win32 and store apps. Set the object name to your convention, then override the display name to the clean product name. Do not leave the display name defaulted to the object name. If you do, users see the full T_MDM string mid-install.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400"/>
        <w:gridCol w:w="4200"/>
      </w:tblGrid>
      <w:tr>
        <w:trPr>
          <w:tblHeader/>
        </w:trPr>
        <w:tc>
          <w:tcPr>
            <w:tcW w:type="dxa" w:w="5400"/>
            <w:shd w:fill="1F4E79" w:val="clear"/>
            <w:tcMar>
              <w:top w:type="dxa" w:w="60"/>
              <w:left w:type="dxa" w:w="100"/>
              <w:bottom w:type="dxa" w:w="60"/>
              <w:right w:type="dxa" w:w="100"/>
            </w:tcMar>
          </w:tcPr>
          <w:p>
            <w:r>
              <w:rPr>
                <w:b/>
                <w:bCs/>
                <w:color w:val="FFFFFF"/>
                <w:sz w:val="19"/>
                <w:szCs w:val="19"/>
              </w:rPr>
              <w:t xml:space="preserve">Object name (admin)</w:t>
            </w:r>
          </w:p>
        </w:tc>
        <w:tc>
          <w:tcPr>
            <w:tcW w:type="dxa" w:w="4200"/>
            <w:shd w:fill="1F4E79" w:val="clear"/>
            <w:tcMar>
              <w:top w:type="dxa" w:w="60"/>
              <w:left w:type="dxa" w:w="100"/>
              <w:bottom w:type="dxa" w:w="60"/>
              <w:right w:type="dxa" w:w="100"/>
            </w:tcMar>
          </w:tcPr>
          <w:p>
            <w:r>
              <w:rPr>
                <w:b/>
                <w:bCs/>
                <w:color w:val="FFFFFF"/>
                <w:sz w:val="19"/>
                <w:szCs w:val="19"/>
              </w:rPr>
              <w:t xml:space="preserve">Display name (Company Portal)</w:t>
            </w:r>
          </w:p>
        </w:tc>
      </w:tr>
      <w:tr>
        <w:tc>
          <w:tcPr>
            <w:tcW w:type="dxa" w:w="5400"/>
            <w:shd w:fill="F2F4F7" w:val="clear"/>
            <w:tcMar>
              <w:top w:type="dxa" w:w="50"/>
              <w:left w:type="dxa" w:w="100"/>
              <w:bottom w:type="dxa" w:w="50"/>
              <w:right w:type="dxa" w:w="100"/>
            </w:tcMar>
          </w:tcPr>
          <w:p>
            <w:r>
              <w:rPr>
                <w:rFonts w:ascii="Consolas" w:cs="Consolas" w:eastAsia="Consolas" w:hAnsi="Consolas"/>
                <w:color w:val="1F4E79"/>
                <w:sz w:val="18"/>
                <w:szCs w:val="18"/>
              </w:rPr>
              <w:t xml:space="preserve">MDM-WIN-USERS-APP-7Zip</w:t>
            </w:r>
          </w:p>
        </w:tc>
        <w:tc>
          <w:tcPr>
            <w:tcW w:type="dxa" w:w="4200"/>
            <w:shd w:fill="F2F4F7" w:val="clear"/>
            <w:tcMar>
              <w:top w:type="dxa" w:w="50"/>
              <w:left w:type="dxa" w:w="100"/>
              <w:bottom w:type="dxa" w:w="50"/>
              <w:right w:type="dxa" w:w="100"/>
            </w:tcMar>
          </w:tcPr>
          <w:p>
            <w:r>
              <w:rPr>
                <w:rFonts w:ascii="Calibri" w:cs="Calibri" w:eastAsia="Calibri" w:hAnsi="Calibri"/>
                <w:color w:val="000000"/>
                <w:sz w:val="18"/>
                <w:szCs w:val="18"/>
              </w:rPr>
              <w:t xml:space="preserve">7-Zip</w:t>
            </w:r>
          </w:p>
        </w:tc>
      </w:tr>
      <w:tr>
        <w:tc>
          <w:tcPr>
            <w:tcW w:type="dxa" w:w="5400"/>
            <w:shd w:fill="FFFFFF" w:val="clear"/>
            <w:tcMar>
              <w:top w:type="dxa" w:w="50"/>
              <w:left w:type="dxa" w:w="100"/>
              <w:bottom w:type="dxa" w:w="50"/>
              <w:right w:type="dxa" w:w="100"/>
            </w:tcMar>
          </w:tcPr>
          <w:p>
            <w:r>
              <w:rPr>
                <w:rFonts w:ascii="Consolas" w:cs="Consolas" w:eastAsia="Consolas" w:hAnsi="Consolas"/>
                <w:color w:val="1F4E79"/>
                <w:sz w:val="18"/>
                <w:szCs w:val="18"/>
              </w:rPr>
              <w:t xml:space="preserve">MDM-WIN-USERS-APP-EdgeStable</w:t>
            </w:r>
          </w:p>
        </w:tc>
        <w:tc>
          <w:tcPr>
            <w:tcW w:type="dxa" w:w="4200"/>
            <w:shd w:fill="FFFFFF" w:val="clear"/>
            <w:tcMar>
              <w:top w:type="dxa" w:w="50"/>
              <w:left w:type="dxa" w:w="100"/>
              <w:bottom w:type="dxa" w:w="50"/>
              <w:right w:type="dxa" w:w="100"/>
            </w:tcMar>
          </w:tcPr>
          <w:p>
            <w:r>
              <w:rPr>
                <w:rFonts w:ascii="Calibri" w:cs="Calibri" w:eastAsia="Calibri" w:hAnsi="Calibri"/>
                <w:color w:val="000000"/>
                <w:sz w:val="18"/>
                <w:szCs w:val="18"/>
              </w:rPr>
              <w:t xml:space="preserve">Microsoft Edge</w:t>
            </w:r>
          </w:p>
        </w:tc>
      </w:tr>
      <w:tr>
        <w:tc>
          <w:tcPr>
            <w:tcW w:type="dxa" w:w="5400"/>
            <w:shd w:fill="F2F4F7" w:val="clear"/>
            <w:tcMar>
              <w:top w:type="dxa" w:w="50"/>
              <w:left w:type="dxa" w:w="100"/>
              <w:bottom w:type="dxa" w:w="50"/>
              <w:right w:type="dxa" w:w="100"/>
            </w:tcMar>
          </w:tcPr>
          <w:p>
            <w:r>
              <w:rPr>
                <w:rFonts w:ascii="Consolas" w:cs="Consolas" w:eastAsia="Consolas" w:hAnsi="Consolas"/>
                <w:color w:val="1F4E79"/>
                <w:sz w:val="18"/>
                <w:szCs w:val="18"/>
              </w:rPr>
              <w:t xml:space="preserve">MDM-IOS-USERS-APP-CompanyVPN</w:t>
            </w:r>
          </w:p>
        </w:tc>
        <w:tc>
          <w:tcPr>
            <w:tcW w:type="dxa" w:w="4200"/>
            <w:shd w:fill="F2F4F7" w:val="clear"/>
            <w:tcMar>
              <w:top w:type="dxa" w:w="50"/>
              <w:left w:type="dxa" w:w="100"/>
              <w:bottom w:type="dxa" w:w="50"/>
              <w:right w:type="dxa" w:w="100"/>
            </w:tcMar>
          </w:tcPr>
          <w:p>
            <w:r>
              <w:rPr>
                <w:rFonts w:ascii="Calibri" w:cs="Calibri" w:eastAsia="Calibri" w:hAnsi="Calibri"/>
                <w:color w:val="000000"/>
                <w:sz w:val="18"/>
                <w:szCs w:val="18"/>
              </w:rPr>
              <w:t xml:space="preserve">Company VPN</w:t>
            </w:r>
          </w:p>
        </w:tc>
      </w:tr>
      <w:tr>
        <w:tc>
          <w:tcPr>
            <w:tcW w:type="dxa" w:w="5400"/>
            <w:shd w:fill="FFFFFF" w:val="clear"/>
            <w:tcMar>
              <w:top w:type="dxa" w:w="50"/>
              <w:left w:type="dxa" w:w="100"/>
              <w:bottom w:type="dxa" w:w="50"/>
              <w:right w:type="dxa" w:w="100"/>
            </w:tcMar>
          </w:tcPr>
          <w:p>
            <w:r>
              <w:rPr>
                <w:rFonts w:ascii="Consolas" w:cs="Consolas" w:eastAsia="Consolas" w:hAnsi="Consolas"/>
                <w:color w:val="1F4E79"/>
                <w:sz w:val="18"/>
                <w:szCs w:val="18"/>
              </w:rPr>
              <w:t xml:space="preserve">T_MDM-WIN-USERS-APP-7Zip</w:t>
            </w:r>
          </w:p>
        </w:tc>
        <w:tc>
          <w:tcPr>
            <w:tcW w:type="dxa" w:w="4200"/>
            <w:shd w:fill="FFFFFF" w:val="clear"/>
            <w:tcMar>
              <w:top w:type="dxa" w:w="50"/>
              <w:left w:type="dxa" w:w="100"/>
              <w:bottom w:type="dxa" w:w="50"/>
              <w:right w:type="dxa" w:w="100"/>
            </w:tcMar>
          </w:tcPr>
          <w:p>
            <w:r>
              <w:rPr>
                <w:rFonts w:ascii="Calibri" w:cs="Calibri" w:eastAsia="Calibri" w:hAnsi="Calibri"/>
                <w:color w:val="000000"/>
                <w:sz w:val="18"/>
                <w:szCs w:val="18"/>
              </w:rPr>
              <w:t xml:space="preserve">7-Zip (test)</w:t>
            </w:r>
          </w:p>
        </w:tc>
      </w:tr>
    </w:tbl>
    <w:p>
      <w:pPr>
        <w:pStyle w:val="Heading1"/>
        <w:spacing w:after="140" w:before="320"/>
      </w:pPr>
      <w:r>
        <w:rPr>
          <w:b/>
          <w:bCs/>
          <w:color w:val="1F4E79"/>
          <w:sz w:val="30"/>
          <w:szCs w:val="30"/>
        </w:rPr>
        <w:t xml:space="preserve">Function code dictionary</w:t>
      </w:r>
    </w:p>
    <w:p>
      <w:pPr>
        <w:spacing w:after="120"/>
      </w:pPr>
      <w:r>
        <w:rPr>
          <w:sz w:val="21"/>
          <w:szCs w:val="21"/>
        </w:rPr>
        <w:t xml:space="preserve">These codes cover every current Intune function. Add new codes to this table as new workloads arrive.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rPr>
          <w:tblHeader/>
        </w:trPr>
        <w:tc>
          <w:tcPr>
            <w:tcW w:type="dxa" w:w="1800"/>
            <w:shd w:fill="1F4E79" w:val="clear"/>
            <w:tcMar>
              <w:top w:type="dxa" w:w="60"/>
              <w:left w:type="dxa" w:w="100"/>
              <w:bottom w:type="dxa" w:w="60"/>
              <w:right w:type="dxa" w:w="100"/>
            </w:tcMar>
          </w:tcPr>
          <w:p>
            <w:r>
              <w:rPr>
                <w:b/>
                <w:bCs/>
                <w:color w:val="FFFFFF"/>
                <w:sz w:val="19"/>
                <w:szCs w:val="19"/>
              </w:rPr>
              <w:t xml:space="preserve">Code</w:t>
            </w:r>
          </w:p>
        </w:tc>
        <w:tc>
          <w:tcPr>
            <w:tcW w:type="dxa" w:w="7800"/>
            <w:shd w:fill="1F4E79" w:val="clear"/>
            <w:tcMar>
              <w:top w:type="dxa" w:w="60"/>
              <w:left w:type="dxa" w:w="100"/>
              <w:bottom w:type="dxa" w:w="60"/>
              <w:right w:type="dxa" w:w="100"/>
            </w:tcMar>
          </w:tcPr>
          <w:p>
            <w:r>
              <w:rPr>
                <w:b/>
                <w:bCs/>
                <w:color w:val="FFFFFF"/>
                <w:sz w:val="19"/>
                <w:szCs w:val="19"/>
              </w:rPr>
              <w:t xml:space="preserve">Function</w:t>
            </w:r>
          </w:p>
        </w:tc>
      </w:tr>
      <w:tr>
        <w:tc>
          <w:tcPr>
            <w:tcW w:type="dxa" w:w="1800"/>
            <w:shd w:fill="F2F4F7" w:val="clear"/>
            <w:tcMar>
              <w:top w:type="dxa" w:w="50"/>
              <w:left w:type="dxa" w:w="100"/>
              <w:bottom w:type="dxa" w:w="50"/>
              <w:right w:type="dxa" w:w="100"/>
            </w:tcMar>
          </w:tcPr>
          <w:p>
            <w:r>
              <w:rPr>
                <w:rFonts w:ascii="Consolas" w:cs="Consolas" w:eastAsia="Consolas" w:hAnsi="Consolas"/>
                <w:color w:val="1F4E79"/>
                <w:sz w:val="18"/>
                <w:szCs w:val="18"/>
              </w:rPr>
              <w:t xml:space="preserve">APP</w:t>
            </w:r>
          </w:p>
        </w:tc>
        <w:tc>
          <w:tcPr>
            <w:tcW w:type="dxa" w:w="7800"/>
            <w:shd w:fill="F2F4F7" w:val="clear"/>
            <w:tcMar>
              <w:top w:type="dxa" w:w="50"/>
              <w:left w:type="dxa" w:w="100"/>
              <w:bottom w:type="dxa" w:w="50"/>
              <w:right w:type="dxa" w:w="100"/>
            </w:tcMar>
          </w:tcPr>
          <w:p>
            <w:r>
              <w:rPr>
                <w:rFonts w:ascii="Calibri" w:cs="Calibri" w:eastAsia="Calibri" w:hAnsi="Calibri"/>
                <w:color w:val="000000"/>
                <w:sz w:val="18"/>
                <w:szCs w:val="18"/>
              </w:rPr>
              <w:t xml:space="preserve">Application deployment</w:t>
            </w:r>
          </w:p>
        </w:tc>
      </w:tr>
      <w:tr>
        <w:tc>
          <w:tcPr>
            <w:tcW w:type="dxa" w:w="1800"/>
            <w:shd w:fill="FFFFFF" w:val="clear"/>
            <w:tcMar>
              <w:top w:type="dxa" w:w="50"/>
              <w:left w:type="dxa" w:w="100"/>
              <w:bottom w:type="dxa" w:w="50"/>
              <w:right w:type="dxa" w:w="100"/>
            </w:tcMar>
          </w:tcPr>
          <w:p>
            <w:r>
              <w:rPr>
                <w:rFonts w:ascii="Consolas" w:cs="Consolas" w:eastAsia="Consolas" w:hAnsi="Consolas"/>
                <w:color w:val="1F4E79"/>
                <w:sz w:val="18"/>
                <w:szCs w:val="18"/>
              </w:rPr>
              <w:t xml:space="preserve">CFG</w:t>
            </w:r>
          </w:p>
        </w:tc>
        <w:tc>
          <w:tcPr>
            <w:tcW w:type="dxa" w:w="7800"/>
            <w:shd w:fill="FFFFFF" w:val="clear"/>
            <w:tcMar>
              <w:top w:type="dxa" w:w="50"/>
              <w:left w:type="dxa" w:w="100"/>
              <w:bottom w:type="dxa" w:w="50"/>
              <w:right w:type="dxa" w:w="100"/>
            </w:tcMar>
          </w:tcPr>
          <w:p>
            <w:r>
              <w:rPr>
                <w:rFonts w:ascii="Calibri" w:cs="Calibri" w:eastAsia="Calibri" w:hAnsi="Calibri"/>
                <w:color w:val="000000"/>
                <w:sz w:val="18"/>
                <w:szCs w:val="18"/>
              </w:rPr>
              <w:t xml:space="preserve">Device or user configuration policy</w:t>
            </w:r>
          </w:p>
        </w:tc>
      </w:tr>
      <w:tr>
        <w:tc>
          <w:tcPr>
            <w:tcW w:type="dxa" w:w="1800"/>
            <w:shd w:fill="F2F4F7" w:val="clear"/>
            <w:tcMar>
              <w:top w:type="dxa" w:w="50"/>
              <w:left w:type="dxa" w:w="100"/>
              <w:bottom w:type="dxa" w:w="50"/>
              <w:right w:type="dxa" w:w="100"/>
            </w:tcMar>
          </w:tcPr>
          <w:p>
            <w:r>
              <w:rPr>
                <w:rFonts w:ascii="Consolas" w:cs="Consolas" w:eastAsia="Consolas" w:hAnsi="Consolas"/>
                <w:color w:val="1F4E79"/>
                <w:sz w:val="18"/>
                <w:szCs w:val="18"/>
              </w:rPr>
              <w:t xml:space="preserve">CMP</w:t>
            </w:r>
          </w:p>
        </w:tc>
        <w:tc>
          <w:tcPr>
            <w:tcW w:type="dxa" w:w="7800"/>
            <w:shd w:fill="F2F4F7" w:val="clear"/>
            <w:tcMar>
              <w:top w:type="dxa" w:w="50"/>
              <w:left w:type="dxa" w:w="100"/>
              <w:bottom w:type="dxa" w:w="50"/>
              <w:right w:type="dxa" w:w="100"/>
            </w:tcMar>
          </w:tcPr>
          <w:p>
            <w:r>
              <w:rPr>
                <w:rFonts w:ascii="Calibri" w:cs="Calibri" w:eastAsia="Calibri" w:hAnsi="Calibri"/>
                <w:color w:val="000000"/>
                <w:sz w:val="18"/>
                <w:szCs w:val="18"/>
              </w:rPr>
              <w:t xml:space="preserve">Compliance policy</w:t>
            </w:r>
          </w:p>
        </w:tc>
      </w:tr>
      <w:tr>
        <w:tc>
          <w:tcPr>
            <w:tcW w:type="dxa" w:w="1800"/>
            <w:shd w:fill="FFFFFF" w:val="clear"/>
            <w:tcMar>
              <w:top w:type="dxa" w:w="50"/>
              <w:left w:type="dxa" w:w="100"/>
              <w:bottom w:type="dxa" w:w="50"/>
              <w:right w:type="dxa" w:w="100"/>
            </w:tcMar>
          </w:tcPr>
          <w:p>
            <w:r>
              <w:rPr>
                <w:rFonts w:ascii="Consolas" w:cs="Consolas" w:eastAsia="Consolas" w:hAnsi="Consolas"/>
                <w:color w:val="1F4E79"/>
                <w:sz w:val="18"/>
                <w:szCs w:val="18"/>
              </w:rPr>
              <w:t xml:space="preserve">CA</w:t>
            </w:r>
          </w:p>
        </w:tc>
        <w:tc>
          <w:tcPr>
            <w:tcW w:type="dxa" w:w="7800"/>
            <w:shd w:fill="FFFFFF" w:val="clear"/>
            <w:tcMar>
              <w:top w:type="dxa" w:w="50"/>
              <w:left w:type="dxa" w:w="100"/>
              <w:bottom w:type="dxa" w:w="50"/>
              <w:right w:type="dxa" w:w="100"/>
            </w:tcMar>
          </w:tcPr>
          <w:p>
            <w:r>
              <w:rPr>
                <w:rFonts w:ascii="Calibri" w:cs="Calibri" w:eastAsia="Calibri" w:hAnsi="Calibri"/>
                <w:color w:val="000000"/>
                <w:sz w:val="18"/>
                <w:szCs w:val="18"/>
              </w:rPr>
              <w:t xml:space="preserve">Conditional Access policy</w:t>
            </w:r>
          </w:p>
        </w:tc>
      </w:tr>
      <w:tr>
        <w:tc>
          <w:tcPr>
            <w:tcW w:type="dxa" w:w="1800"/>
            <w:shd w:fill="F2F4F7" w:val="clear"/>
            <w:tcMar>
              <w:top w:type="dxa" w:w="50"/>
              <w:left w:type="dxa" w:w="100"/>
              <w:bottom w:type="dxa" w:w="50"/>
              <w:right w:type="dxa" w:w="100"/>
            </w:tcMar>
          </w:tcPr>
          <w:p>
            <w:r>
              <w:rPr>
                <w:rFonts w:ascii="Consolas" w:cs="Consolas" w:eastAsia="Consolas" w:hAnsi="Consolas"/>
                <w:color w:val="1F4E79"/>
                <w:sz w:val="18"/>
                <w:szCs w:val="18"/>
              </w:rPr>
              <w:t xml:space="preserve">EPM</w:t>
            </w:r>
          </w:p>
        </w:tc>
        <w:tc>
          <w:tcPr>
            <w:tcW w:type="dxa" w:w="7800"/>
            <w:shd w:fill="F2F4F7" w:val="clear"/>
            <w:tcMar>
              <w:top w:type="dxa" w:w="50"/>
              <w:left w:type="dxa" w:w="100"/>
              <w:bottom w:type="dxa" w:w="50"/>
              <w:right w:type="dxa" w:w="100"/>
            </w:tcMar>
          </w:tcPr>
          <w:p>
            <w:r>
              <w:rPr>
                <w:rFonts w:ascii="Calibri" w:cs="Calibri" w:eastAsia="Calibri" w:hAnsi="Calibri"/>
                <w:color w:val="000000"/>
                <w:sz w:val="18"/>
                <w:szCs w:val="18"/>
              </w:rPr>
              <w:t xml:space="preserve">Endpoint Privilege Management</w:t>
            </w:r>
          </w:p>
        </w:tc>
      </w:tr>
      <w:tr>
        <w:tc>
          <w:tcPr>
            <w:tcW w:type="dxa" w:w="1800"/>
            <w:shd w:fill="FFFFFF" w:val="clear"/>
            <w:tcMar>
              <w:top w:type="dxa" w:w="50"/>
              <w:left w:type="dxa" w:w="100"/>
              <w:bottom w:type="dxa" w:w="50"/>
              <w:right w:type="dxa" w:w="100"/>
            </w:tcMar>
          </w:tcPr>
          <w:p>
            <w:r>
              <w:rPr>
                <w:rFonts w:ascii="Consolas" w:cs="Consolas" w:eastAsia="Consolas" w:hAnsi="Consolas"/>
                <w:color w:val="1F4E79"/>
                <w:sz w:val="18"/>
                <w:szCs w:val="18"/>
              </w:rPr>
              <w:t xml:space="preserve">AC</w:t>
            </w:r>
          </w:p>
        </w:tc>
        <w:tc>
          <w:tcPr>
            <w:tcW w:type="dxa" w:w="7800"/>
            <w:shd w:fill="FFFFFF" w:val="clear"/>
            <w:tcMar>
              <w:top w:type="dxa" w:w="50"/>
              <w:left w:type="dxa" w:w="100"/>
              <w:bottom w:type="dxa" w:w="50"/>
              <w:right w:type="dxa" w:w="100"/>
            </w:tcMar>
          </w:tcPr>
          <w:p>
            <w:r>
              <w:rPr>
                <w:rFonts w:ascii="Calibri" w:cs="Calibri" w:eastAsia="Calibri" w:hAnsi="Calibri"/>
                <w:color w:val="000000"/>
                <w:sz w:val="18"/>
                <w:szCs w:val="18"/>
              </w:rPr>
              <w:t xml:space="preserve">App Control for Business (WDAC)</w:t>
            </w:r>
          </w:p>
        </w:tc>
      </w:tr>
      <w:tr>
        <w:tc>
          <w:tcPr>
            <w:tcW w:type="dxa" w:w="1800"/>
            <w:shd w:fill="F2F4F7" w:val="clear"/>
            <w:tcMar>
              <w:top w:type="dxa" w:w="50"/>
              <w:left w:type="dxa" w:w="100"/>
              <w:bottom w:type="dxa" w:w="50"/>
              <w:right w:type="dxa" w:w="100"/>
            </w:tcMar>
          </w:tcPr>
          <w:p>
            <w:r>
              <w:rPr>
                <w:rFonts w:ascii="Consolas" w:cs="Consolas" w:eastAsia="Consolas" w:hAnsi="Consolas"/>
                <w:color w:val="1F4E79"/>
                <w:sz w:val="18"/>
                <w:szCs w:val="18"/>
              </w:rPr>
              <w:t xml:space="preserve">ASR</w:t>
            </w:r>
          </w:p>
        </w:tc>
        <w:tc>
          <w:tcPr>
            <w:tcW w:type="dxa" w:w="7800"/>
            <w:shd w:fill="F2F4F7" w:val="clear"/>
            <w:tcMar>
              <w:top w:type="dxa" w:w="50"/>
              <w:left w:type="dxa" w:w="100"/>
              <w:bottom w:type="dxa" w:w="50"/>
              <w:right w:type="dxa" w:w="100"/>
            </w:tcMar>
          </w:tcPr>
          <w:p>
            <w:r>
              <w:rPr>
                <w:rFonts w:ascii="Calibri" w:cs="Calibri" w:eastAsia="Calibri" w:hAnsi="Calibri"/>
                <w:color w:val="000000"/>
                <w:sz w:val="18"/>
                <w:szCs w:val="18"/>
              </w:rPr>
              <w:t xml:space="preserve">Attack Surface Reduction rules</w:t>
            </w:r>
          </w:p>
        </w:tc>
      </w:tr>
      <w:tr>
        <w:tc>
          <w:tcPr>
            <w:tcW w:type="dxa" w:w="1800"/>
            <w:shd w:fill="FFFFFF" w:val="clear"/>
            <w:tcMar>
              <w:top w:type="dxa" w:w="50"/>
              <w:left w:type="dxa" w:w="100"/>
              <w:bottom w:type="dxa" w:w="50"/>
              <w:right w:type="dxa" w:w="100"/>
            </w:tcMar>
          </w:tcPr>
          <w:p>
            <w:r>
              <w:rPr>
                <w:rFonts w:ascii="Consolas" w:cs="Consolas" w:eastAsia="Consolas" w:hAnsi="Consolas"/>
                <w:color w:val="1F4E79"/>
                <w:sz w:val="18"/>
                <w:szCs w:val="18"/>
              </w:rPr>
              <w:t xml:space="preserve">DEF</w:t>
            </w:r>
          </w:p>
        </w:tc>
        <w:tc>
          <w:tcPr>
            <w:tcW w:type="dxa" w:w="7800"/>
            <w:shd w:fill="FFFFFF" w:val="clear"/>
            <w:tcMar>
              <w:top w:type="dxa" w:w="50"/>
              <w:left w:type="dxa" w:w="100"/>
              <w:bottom w:type="dxa" w:w="50"/>
              <w:right w:type="dxa" w:w="100"/>
            </w:tcMar>
          </w:tcPr>
          <w:p>
            <w:r>
              <w:rPr>
                <w:rFonts w:ascii="Calibri" w:cs="Calibri" w:eastAsia="Calibri" w:hAnsi="Calibri"/>
                <w:color w:val="000000"/>
                <w:sz w:val="18"/>
                <w:szCs w:val="18"/>
              </w:rPr>
              <w:t xml:space="preserve">Antivirus / Microsoft Defender</w:t>
            </w:r>
          </w:p>
        </w:tc>
      </w:tr>
      <w:tr>
        <w:tc>
          <w:tcPr>
            <w:tcW w:type="dxa" w:w="1800"/>
            <w:shd w:fill="F2F4F7" w:val="clear"/>
            <w:tcMar>
              <w:top w:type="dxa" w:w="50"/>
              <w:left w:type="dxa" w:w="100"/>
              <w:bottom w:type="dxa" w:w="50"/>
              <w:right w:type="dxa" w:w="100"/>
            </w:tcMar>
          </w:tcPr>
          <w:p>
            <w:r>
              <w:rPr>
                <w:rFonts w:ascii="Consolas" w:cs="Consolas" w:eastAsia="Consolas" w:hAnsi="Consolas"/>
                <w:color w:val="1F4E79"/>
                <w:sz w:val="18"/>
                <w:szCs w:val="18"/>
              </w:rPr>
              <w:t xml:space="preserve">EDR</w:t>
            </w:r>
          </w:p>
        </w:tc>
        <w:tc>
          <w:tcPr>
            <w:tcW w:type="dxa" w:w="7800"/>
            <w:shd w:fill="F2F4F7" w:val="clear"/>
            <w:tcMar>
              <w:top w:type="dxa" w:w="50"/>
              <w:left w:type="dxa" w:w="100"/>
              <w:bottom w:type="dxa" w:w="50"/>
              <w:right w:type="dxa" w:w="100"/>
            </w:tcMar>
          </w:tcPr>
          <w:p>
            <w:r>
              <w:rPr>
                <w:rFonts w:ascii="Calibri" w:cs="Calibri" w:eastAsia="Calibri" w:hAnsi="Calibri"/>
                <w:color w:val="000000"/>
                <w:sz w:val="18"/>
                <w:szCs w:val="18"/>
              </w:rPr>
              <w:t xml:space="preserve">Endpoint Detection and Response</w:t>
            </w:r>
          </w:p>
        </w:tc>
      </w:tr>
      <w:tr>
        <w:tc>
          <w:tcPr>
            <w:tcW w:type="dxa" w:w="1800"/>
            <w:shd w:fill="FFFFFF" w:val="clear"/>
            <w:tcMar>
              <w:top w:type="dxa" w:w="50"/>
              <w:left w:type="dxa" w:w="100"/>
              <w:bottom w:type="dxa" w:w="50"/>
              <w:right w:type="dxa" w:w="100"/>
            </w:tcMar>
          </w:tcPr>
          <w:p>
            <w:r>
              <w:rPr>
                <w:rFonts w:ascii="Consolas" w:cs="Consolas" w:eastAsia="Consolas" w:hAnsi="Consolas"/>
                <w:color w:val="1F4E79"/>
                <w:sz w:val="18"/>
                <w:szCs w:val="18"/>
              </w:rPr>
              <w:t xml:space="preserve">ENC</w:t>
            </w:r>
          </w:p>
        </w:tc>
        <w:tc>
          <w:tcPr>
            <w:tcW w:type="dxa" w:w="7800"/>
            <w:shd w:fill="FFFFFF" w:val="clear"/>
            <w:tcMar>
              <w:top w:type="dxa" w:w="50"/>
              <w:left w:type="dxa" w:w="100"/>
              <w:bottom w:type="dxa" w:w="50"/>
              <w:right w:type="dxa" w:w="100"/>
            </w:tcMar>
          </w:tcPr>
          <w:p>
            <w:r>
              <w:rPr>
                <w:rFonts w:ascii="Calibri" w:cs="Calibri" w:eastAsia="Calibri" w:hAnsi="Calibri"/>
                <w:color w:val="000000"/>
                <w:sz w:val="18"/>
                <w:szCs w:val="18"/>
              </w:rPr>
              <w:t xml:space="preserve">Disk encryption (BitLocker / FileVault)</w:t>
            </w:r>
          </w:p>
        </w:tc>
      </w:tr>
      <w:tr>
        <w:tc>
          <w:tcPr>
            <w:tcW w:type="dxa" w:w="1800"/>
            <w:shd w:fill="F2F4F7" w:val="clear"/>
            <w:tcMar>
              <w:top w:type="dxa" w:w="50"/>
              <w:left w:type="dxa" w:w="100"/>
              <w:bottom w:type="dxa" w:w="50"/>
              <w:right w:type="dxa" w:w="100"/>
            </w:tcMar>
          </w:tcPr>
          <w:p>
            <w:r>
              <w:rPr>
                <w:rFonts w:ascii="Consolas" w:cs="Consolas" w:eastAsia="Consolas" w:hAnsi="Consolas"/>
                <w:color w:val="1F4E79"/>
                <w:sz w:val="18"/>
                <w:szCs w:val="18"/>
              </w:rPr>
              <w:t xml:space="preserve">FW</w:t>
            </w:r>
          </w:p>
        </w:tc>
        <w:tc>
          <w:tcPr>
            <w:tcW w:type="dxa" w:w="7800"/>
            <w:shd w:fill="F2F4F7" w:val="clear"/>
            <w:tcMar>
              <w:top w:type="dxa" w:w="50"/>
              <w:left w:type="dxa" w:w="100"/>
              <w:bottom w:type="dxa" w:w="50"/>
              <w:right w:type="dxa" w:w="100"/>
            </w:tcMar>
          </w:tcPr>
          <w:p>
            <w:r>
              <w:rPr>
                <w:rFonts w:ascii="Calibri" w:cs="Calibri" w:eastAsia="Calibri" w:hAnsi="Calibri"/>
                <w:color w:val="000000"/>
                <w:sz w:val="18"/>
                <w:szCs w:val="18"/>
              </w:rPr>
              <w:t xml:space="preserve">Firewall policy</w:t>
            </w:r>
          </w:p>
        </w:tc>
      </w:tr>
      <w:tr>
        <w:tc>
          <w:tcPr>
            <w:tcW w:type="dxa" w:w="1800"/>
            <w:shd w:fill="FFFFFF" w:val="clear"/>
            <w:tcMar>
              <w:top w:type="dxa" w:w="50"/>
              <w:left w:type="dxa" w:w="100"/>
              <w:bottom w:type="dxa" w:w="50"/>
              <w:right w:type="dxa" w:w="100"/>
            </w:tcMar>
          </w:tcPr>
          <w:p>
            <w:r>
              <w:rPr>
                <w:rFonts w:ascii="Consolas" w:cs="Consolas" w:eastAsia="Consolas" w:hAnsi="Consolas"/>
                <w:color w:val="1F4E79"/>
                <w:sz w:val="18"/>
                <w:szCs w:val="18"/>
              </w:rPr>
              <w:t xml:space="preserve">ACP</w:t>
            </w:r>
          </w:p>
        </w:tc>
        <w:tc>
          <w:tcPr>
            <w:tcW w:type="dxa" w:w="7800"/>
            <w:shd w:fill="FFFFFF" w:val="clear"/>
            <w:tcMar>
              <w:top w:type="dxa" w:w="50"/>
              <w:left w:type="dxa" w:w="100"/>
              <w:bottom w:type="dxa" w:w="50"/>
              <w:right w:type="dxa" w:w="100"/>
            </w:tcMar>
          </w:tcPr>
          <w:p>
            <w:r>
              <w:rPr>
                <w:rFonts w:ascii="Calibri" w:cs="Calibri" w:eastAsia="Calibri" w:hAnsi="Calibri"/>
                <w:color w:val="000000"/>
                <w:sz w:val="18"/>
                <w:szCs w:val="18"/>
              </w:rPr>
              <w:t xml:space="preserve">Account protection (Credential Guard, Hello)</w:t>
            </w:r>
          </w:p>
        </w:tc>
      </w:tr>
      <w:tr>
        <w:tc>
          <w:tcPr>
            <w:tcW w:type="dxa" w:w="1800"/>
            <w:shd w:fill="F2F4F7" w:val="clear"/>
            <w:tcMar>
              <w:top w:type="dxa" w:w="50"/>
              <w:left w:type="dxa" w:w="100"/>
              <w:bottom w:type="dxa" w:w="50"/>
              <w:right w:type="dxa" w:w="100"/>
            </w:tcMar>
          </w:tcPr>
          <w:p>
            <w:r>
              <w:rPr>
                <w:rFonts w:ascii="Consolas" w:cs="Consolas" w:eastAsia="Consolas" w:hAnsi="Consolas"/>
                <w:color w:val="1F4E79"/>
                <w:sz w:val="18"/>
                <w:szCs w:val="18"/>
              </w:rPr>
              <w:t xml:space="preserve">SB</w:t>
            </w:r>
          </w:p>
        </w:tc>
        <w:tc>
          <w:tcPr>
            <w:tcW w:type="dxa" w:w="7800"/>
            <w:shd w:fill="F2F4F7" w:val="clear"/>
            <w:tcMar>
              <w:top w:type="dxa" w:w="50"/>
              <w:left w:type="dxa" w:w="100"/>
              <w:bottom w:type="dxa" w:w="50"/>
              <w:right w:type="dxa" w:w="100"/>
            </w:tcMar>
          </w:tcPr>
          <w:p>
            <w:r>
              <w:rPr>
                <w:rFonts w:ascii="Calibri" w:cs="Calibri" w:eastAsia="Calibri" w:hAnsi="Calibri"/>
                <w:color w:val="000000"/>
                <w:sz w:val="18"/>
                <w:szCs w:val="18"/>
              </w:rPr>
              <w:t xml:space="preserve">Security baseline</w:t>
            </w:r>
          </w:p>
        </w:tc>
      </w:tr>
      <w:tr>
        <w:tc>
          <w:tcPr>
            <w:tcW w:type="dxa" w:w="1800"/>
            <w:shd w:fill="FFFFFF" w:val="clear"/>
            <w:tcMar>
              <w:top w:type="dxa" w:w="50"/>
              <w:left w:type="dxa" w:w="100"/>
              <w:bottom w:type="dxa" w:w="50"/>
              <w:right w:type="dxa" w:w="100"/>
            </w:tcMar>
          </w:tcPr>
          <w:p>
            <w:r>
              <w:rPr>
                <w:rFonts w:ascii="Consolas" w:cs="Consolas" w:eastAsia="Consolas" w:hAnsi="Consolas"/>
                <w:color w:val="1F4E79"/>
                <w:sz w:val="18"/>
                <w:szCs w:val="18"/>
              </w:rPr>
              <w:t xml:space="preserve">LAPS</w:t>
            </w:r>
          </w:p>
        </w:tc>
        <w:tc>
          <w:tcPr>
            <w:tcW w:type="dxa" w:w="7800"/>
            <w:shd w:fill="FFFFFF" w:val="clear"/>
            <w:tcMar>
              <w:top w:type="dxa" w:w="50"/>
              <w:left w:type="dxa" w:w="100"/>
              <w:bottom w:type="dxa" w:w="50"/>
              <w:right w:type="dxa" w:w="100"/>
            </w:tcMar>
          </w:tcPr>
          <w:p>
            <w:r>
              <w:rPr>
                <w:rFonts w:ascii="Calibri" w:cs="Calibri" w:eastAsia="Calibri" w:hAnsi="Calibri"/>
                <w:color w:val="000000"/>
                <w:sz w:val="18"/>
                <w:szCs w:val="18"/>
              </w:rPr>
              <w:t xml:space="preserve">Windows LAPS</w:t>
            </w:r>
          </w:p>
        </w:tc>
      </w:tr>
      <w:tr>
        <w:tc>
          <w:tcPr>
            <w:tcW w:type="dxa" w:w="1800"/>
            <w:shd w:fill="F2F4F7" w:val="clear"/>
            <w:tcMar>
              <w:top w:type="dxa" w:w="50"/>
              <w:left w:type="dxa" w:w="100"/>
              <w:bottom w:type="dxa" w:w="50"/>
              <w:right w:type="dxa" w:w="100"/>
            </w:tcMar>
          </w:tcPr>
          <w:p>
            <w:r>
              <w:rPr>
                <w:rFonts w:ascii="Consolas" w:cs="Consolas" w:eastAsia="Consolas" w:hAnsi="Consolas"/>
                <w:color w:val="1F4E79"/>
                <w:sz w:val="18"/>
                <w:szCs w:val="18"/>
              </w:rPr>
              <w:t xml:space="preserve">ACP-APP</w:t>
            </w:r>
          </w:p>
        </w:tc>
        <w:tc>
          <w:tcPr>
            <w:tcW w:type="dxa" w:w="7800"/>
            <w:shd w:fill="F2F4F7" w:val="clear"/>
            <w:tcMar>
              <w:top w:type="dxa" w:w="50"/>
              <w:left w:type="dxa" w:w="100"/>
              <w:bottom w:type="dxa" w:w="50"/>
              <w:right w:type="dxa" w:w="100"/>
            </w:tcMar>
          </w:tcPr>
          <w:p>
            <w:r>
              <w:rPr>
                <w:rFonts w:ascii="Calibri" w:cs="Calibri" w:eastAsia="Calibri" w:hAnsi="Calibri"/>
                <w:color w:val="000000"/>
                <w:sz w:val="18"/>
                <w:szCs w:val="18"/>
              </w:rPr>
              <w:t xml:space="preserve">App configuration policy</w:t>
            </w:r>
          </w:p>
        </w:tc>
      </w:tr>
      <w:tr>
        <w:tc>
          <w:tcPr>
            <w:tcW w:type="dxa" w:w="1800"/>
            <w:shd w:fill="FFFFFF" w:val="clear"/>
            <w:tcMar>
              <w:top w:type="dxa" w:w="50"/>
              <w:left w:type="dxa" w:w="100"/>
              <w:bottom w:type="dxa" w:w="50"/>
              <w:right w:type="dxa" w:w="100"/>
            </w:tcMar>
          </w:tcPr>
          <w:p>
            <w:r>
              <w:rPr>
                <w:rFonts w:ascii="Consolas" w:cs="Consolas" w:eastAsia="Consolas" w:hAnsi="Consolas"/>
                <w:color w:val="1F4E79"/>
                <w:sz w:val="18"/>
                <w:szCs w:val="18"/>
              </w:rPr>
              <w:t xml:space="preserve">AP</w:t>
            </w:r>
          </w:p>
        </w:tc>
        <w:tc>
          <w:tcPr>
            <w:tcW w:type="dxa" w:w="7800"/>
            <w:shd w:fill="FFFFFF" w:val="clear"/>
            <w:tcMar>
              <w:top w:type="dxa" w:w="50"/>
              <w:left w:type="dxa" w:w="100"/>
              <w:bottom w:type="dxa" w:w="50"/>
              <w:right w:type="dxa" w:w="100"/>
            </w:tcMar>
          </w:tcPr>
          <w:p>
            <w:r>
              <w:rPr>
                <w:rFonts w:ascii="Calibri" w:cs="Calibri" w:eastAsia="Calibri" w:hAnsi="Calibri"/>
                <w:color w:val="000000"/>
                <w:sz w:val="18"/>
                <w:szCs w:val="18"/>
              </w:rPr>
              <w:t xml:space="preserve">Autopilot deployment profile</w:t>
            </w:r>
          </w:p>
        </w:tc>
      </w:tr>
      <w:tr>
        <w:tc>
          <w:tcPr>
            <w:tcW w:type="dxa" w:w="1800"/>
            <w:shd w:fill="F2F4F7" w:val="clear"/>
            <w:tcMar>
              <w:top w:type="dxa" w:w="50"/>
              <w:left w:type="dxa" w:w="100"/>
              <w:bottom w:type="dxa" w:w="50"/>
              <w:right w:type="dxa" w:w="100"/>
            </w:tcMar>
          </w:tcPr>
          <w:p>
            <w:r>
              <w:rPr>
                <w:rFonts w:ascii="Consolas" w:cs="Consolas" w:eastAsia="Consolas" w:hAnsi="Consolas"/>
                <w:color w:val="1F4E79"/>
                <w:sz w:val="18"/>
                <w:szCs w:val="18"/>
              </w:rPr>
              <w:t xml:space="preserve">ESP</w:t>
            </w:r>
          </w:p>
        </w:tc>
        <w:tc>
          <w:tcPr>
            <w:tcW w:type="dxa" w:w="7800"/>
            <w:shd w:fill="F2F4F7" w:val="clear"/>
            <w:tcMar>
              <w:top w:type="dxa" w:w="50"/>
              <w:left w:type="dxa" w:w="100"/>
              <w:bottom w:type="dxa" w:w="50"/>
              <w:right w:type="dxa" w:w="100"/>
            </w:tcMar>
          </w:tcPr>
          <w:p>
            <w:r>
              <w:rPr>
                <w:rFonts w:ascii="Calibri" w:cs="Calibri" w:eastAsia="Calibri" w:hAnsi="Calibri"/>
                <w:color w:val="000000"/>
                <w:sz w:val="18"/>
                <w:szCs w:val="18"/>
              </w:rPr>
              <w:t xml:space="preserve">Enrollment Status Page</w:t>
            </w:r>
          </w:p>
        </w:tc>
      </w:tr>
      <w:tr>
        <w:tc>
          <w:tcPr>
            <w:tcW w:type="dxa" w:w="1800"/>
            <w:shd w:fill="FFFFFF" w:val="clear"/>
            <w:tcMar>
              <w:top w:type="dxa" w:w="50"/>
              <w:left w:type="dxa" w:w="100"/>
              <w:bottom w:type="dxa" w:w="50"/>
              <w:right w:type="dxa" w:w="100"/>
            </w:tcMar>
          </w:tcPr>
          <w:p>
            <w:r>
              <w:rPr>
                <w:rFonts w:ascii="Consolas" w:cs="Consolas" w:eastAsia="Consolas" w:hAnsi="Consolas"/>
                <w:color w:val="1F4E79"/>
                <w:sz w:val="18"/>
                <w:szCs w:val="18"/>
              </w:rPr>
              <w:t xml:space="preserve">W365</w:t>
            </w:r>
          </w:p>
        </w:tc>
        <w:tc>
          <w:tcPr>
            <w:tcW w:type="dxa" w:w="7800"/>
            <w:shd w:fill="FFFFFF" w:val="clear"/>
            <w:tcMar>
              <w:top w:type="dxa" w:w="50"/>
              <w:left w:type="dxa" w:w="100"/>
              <w:bottom w:type="dxa" w:w="50"/>
              <w:right w:type="dxa" w:w="100"/>
            </w:tcMar>
          </w:tcPr>
          <w:p>
            <w:r>
              <w:rPr>
                <w:rFonts w:ascii="Calibri" w:cs="Calibri" w:eastAsia="Calibri" w:hAnsi="Calibri"/>
                <w:color w:val="000000"/>
                <w:sz w:val="18"/>
                <w:szCs w:val="18"/>
              </w:rPr>
              <w:t xml:space="preserve">Windows 365 provisioning policy</w:t>
            </w:r>
          </w:p>
        </w:tc>
      </w:tr>
      <w:tr>
        <w:tc>
          <w:tcPr>
            <w:tcW w:type="dxa" w:w="1800"/>
            <w:shd w:fill="F2F4F7" w:val="clear"/>
            <w:tcMar>
              <w:top w:type="dxa" w:w="50"/>
              <w:left w:type="dxa" w:w="100"/>
              <w:bottom w:type="dxa" w:w="50"/>
              <w:right w:type="dxa" w:w="100"/>
            </w:tcMar>
          </w:tcPr>
          <w:p>
            <w:r>
              <w:rPr>
                <w:rFonts w:ascii="Consolas" w:cs="Consolas" w:eastAsia="Consolas" w:hAnsi="Consolas"/>
                <w:color w:val="1F4E79"/>
                <w:sz w:val="18"/>
                <w:szCs w:val="18"/>
              </w:rPr>
              <w:t xml:space="preserve">RS</w:t>
            </w:r>
          </w:p>
        </w:tc>
        <w:tc>
          <w:tcPr>
            <w:tcW w:type="dxa" w:w="7800"/>
            <w:shd w:fill="F2F4F7" w:val="clear"/>
            <w:tcMar>
              <w:top w:type="dxa" w:w="50"/>
              <w:left w:type="dxa" w:w="100"/>
              <w:bottom w:type="dxa" w:w="50"/>
              <w:right w:type="dxa" w:w="100"/>
            </w:tcMar>
          </w:tcPr>
          <w:p>
            <w:r>
              <w:rPr>
                <w:rFonts w:ascii="Calibri" w:cs="Calibri" w:eastAsia="Calibri" w:hAnsi="Calibri"/>
                <w:color w:val="000000"/>
                <w:sz w:val="18"/>
                <w:szCs w:val="18"/>
              </w:rPr>
              <w:t xml:space="preserve">Remediation script</w:t>
            </w:r>
          </w:p>
        </w:tc>
      </w:tr>
      <w:tr>
        <w:tc>
          <w:tcPr>
            <w:tcW w:type="dxa" w:w="1800"/>
            <w:shd w:fill="FFFFFF" w:val="clear"/>
            <w:tcMar>
              <w:top w:type="dxa" w:w="50"/>
              <w:left w:type="dxa" w:w="100"/>
              <w:bottom w:type="dxa" w:w="50"/>
              <w:right w:type="dxa" w:w="100"/>
            </w:tcMar>
          </w:tcPr>
          <w:p>
            <w:r>
              <w:rPr>
                <w:rFonts w:ascii="Consolas" w:cs="Consolas" w:eastAsia="Consolas" w:hAnsi="Consolas"/>
                <w:color w:val="1F4E79"/>
                <w:sz w:val="18"/>
                <w:szCs w:val="18"/>
              </w:rPr>
              <w:t xml:space="preserve">PS</w:t>
            </w:r>
          </w:p>
        </w:tc>
        <w:tc>
          <w:tcPr>
            <w:tcW w:type="dxa" w:w="7800"/>
            <w:shd w:fill="FFFFFF" w:val="clear"/>
            <w:tcMar>
              <w:top w:type="dxa" w:w="50"/>
              <w:left w:type="dxa" w:w="100"/>
              <w:bottom w:type="dxa" w:w="50"/>
              <w:right w:type="dxa" w:w="100"/>
            </w:tcMar>
          </w:tcPr>
          <w:p>
            <w:r>
              <w:rPr>
                <w:rFonts w:ascii="Calibri" w:cs="Calibri" w:eastAsia="Calibri" w:hAnsi="Calibri"/>
                <w:color w:val="000000"/>
                <w:sz w:val="18"/>
                <w:szCs w:val="18"/>
              </w:rPr>
              <w:t xml:space="preserve">Platform script</w:t>
            </w:r>
          </w:p>
        </w:tc>
      </w:tr>
      <w:tr>
        <w:tc>
          <w:tcPr>
            <w:tcW w:type="dxa" w:w="1800"/>
            <w:shd w:fill="F2F4F7" w:val="clear"/>
            <w:tcMar>
              <w:top w:type="dxa" w:w="50"/>
              <w:left w:type="dxa" w:w="100"/>
              <w:bottom w:type="dxa" w:w="50"/>
              <w:right w:type="dxa" w:w="100"/>
            </w:tcMar>
          </w:tcPr>
          <w:p>
            <w:r>
              <w:rPr>
                <w:rFonts w:ascii="Consolas" w:cs="Consolas" w:eastAsia="Consolas" w:hAnsi="Consolas"/>
                <w:color w:val="1F4E79"/>
                <w:sz w:val="18"/>
                <w:szCs w:val="18"/>
              </w:rPr>
              <w:t xml:space="preserve">WUR</w:t>
            </w:r>
          </w:p>
        </w:tc>
        <w:tc>
          <w:tcPr>
            <w:tcW w:type="dxa" w:w="7800"/>
            <w:shd w:fill="F2F4F7" w:val="clear"/>
            <w:tcMar>
              <w:top w:type="dxa" w:w="50"/>
              <w:left w:type="dxa" w:w="100"/>
              <w:bottom w:type="dxa" w:w="50"/>
              <w:right w:type="dxa" w:w="100"/>
            </w:tcMar>
          </w:tcPr>
          <w:p>
            <w:r>
              <w:rPr>
                <w:rFonts w:ascii="Calibri" w:cs="Calibri" w:eastAsia="Calibri" w:hAnsi="Calibri"/>
                <w:color w:val="000000"/>
                <w:sz w:val="18"/>
                <w:szCs w:val="18"/>
              </w:rPr>
              <w:t xml:space="preserve">Windows Update ring</w:t>
            </w:r>
          </w:p>
        </w:tc>
      </w:tr>
      <w:tr>
        <w:tc>
          <w:tcPr>
            <w:tcW w:type="dxa" w:w="1800"/>
            <w:shd w:fill="FFFFFF" w:val="clear"/>
            <w:tcMar>
              <w:top w:type="dxa" w:w="50"/>
              <w:left w:type="dxa" w:w="100"/>
              <w:bottom w:type="dxa" w:w="50"/>
              <w:right w:type="dxa" w:w="100"/>
            </w:tcMar>
          </w:tcPr>
          <w:p>
            <w:r>
              <w:rPr>
                <w:rFonts w:ascii="Consolas" w:cs="Consolas" w:eastAsia="Consolas" w:hAnsi="Consolas"/>
                <w:color w:val="1F4E79"/>
                <w:sz w:val="18"/>
                <w:szCs w:val="18"/>
              </w:rPr>
              <w:t xml:space="preserve">WSU</w:t>
            </w:r>
          </w:p>
        </w:tc>
        <w:tc>
          <w:tcPr>
            <w:tcW w:type="dxa" w:w="7800"/>
            <w:shd w:fill="FFFFFF" w:val="clear"/>
            <w:tcMar>
              <w:top w:type="dxa" w:w="50"/>
              <w:left w:type="dxa" w:w="100"/>
              <w:bottom w:type="dxa" w:w="50"/>
              <w:right w:type="dxa" w:w="100"/>
            </w:tcMar>
          </w:tcPr>
          <w:p>
            <w:r>
              <w:rPr>
                <w:rFonts w:ascii="Calibri" w:cs="Calibri" w:eastAsia="Calibri" w:hAnsi="Calibri"/>
                <w:color w:val="000000"/>
                <w:sz w:val="18"/>
                <w:szCs w:val="18"/>
              </w:rPr>
              <w:t xml:space="preserve">Windows security update</w:t>
            </w:r>
          </w:p>
        </w:tc>
      </w:tr>
      <w:tr>
        <w:tc>
          <w:tcPr>
            <w:tcW w:type="dxa" w:w="1800"/>
            <w:shd w:fill="F2F4F7" w:val="clear"/>
            <w:tcMar>
              <w:top w:type="dxa" w:w="50"/>
              <w:left w:type="dxa" w:w="100"/>
              <w:bottom w:type="dxa" w:w="50"/>
              <w:right w:type="dxa" w:w="100"/>
            </w:tcMar>
          </w:tcPr>
          <w:p>
            <w:r>
              <w:rPr>
                <w:rFonts w:ascii="Consolas" w:cs="Consolas" w:eastAsia="Consolas" w:hAnsi="Consolas"/>
                <w:color w:val="1F4E79"/>
                <w:sz w:val="18"/>
                <w:szCs w:val="18"/>
              </w:rPr>
              <w:t xml:space="preserve">WFU</w:t>
            </w:r>
          </w:p>
        </w:tc>
        <w:tc>
          <w:tcPr>
            <w:tcW w:type="dxa" w:w="7800"/>
            <w:shd w:fill="F2F4F7" w:val="clear"/>
            <w:tcMar>
              <w:top w:type="dxa" w:w="50"/>
              <w:left w:type="dxa" w:w="100"/>
              <w:bottom w:type="dxa" w:w="50"/>
              <w:right w:type="dxa" w:w="100"/>
            </w:tcMar>
          </w:tcPr>
          <w:p>
            <w:r>
              <w:rPr>
                <w:rFonts w:ascii="Calibri" w:cs="Calibri" w:eastAsia="Calibri" w:hAnsi="Calibri"/>
                <w:color w:val="000000"/>
                <w:sz w:val="18"/>
                <w:szCs w:val="18"/>
              </w:rPr>
              <w:t xml:space="preserve">Windows feature update</w:t>
            </w:r>
          </w:p>
        </w:tc>
      </w:tr>
      <w:tr>
        <w:tc>
          <w:tcPr>
            <w:tcW w:type="dxa" w:w="1800"/>
            <w:shd w:fill="FFFFFF" w:val="clear"/>
            <w:tcMar>
              <w:top w:type="dxa" w:w="50"/>
              <w:left w:type="dxa" w:w="100"/>
              <w:bottom w:type="dxa" w:w="50"/>
              <w:right w:type="dxa" w:w="100"/>
            </w:tcMar>
          </w:tcPr>
          <w:p>
            <w:r>
              <w:rPr>
                <w:rFonts w:ascii="Consolas" w:cs="Consolas" w:eastAsia="Consolas" w:hAnsi="Consolas"/>
                <w:color w:val="1F4E79"/>
                <w:sz w:val="18"/>
                <w:szCs w:val="18"/>
              </w:rPr>
              <w:t xml:space="preserve">WQU</w:t>
            </w:r>
          </w:p>
        </w:tc>
        <w:tc>
          <w:tcPr>
            <w:tcW w:type="dxa" w:w="7800"/>
            <w:shd w:fill="FFFFFF" w:val="clear"/>
            <w:tcMar>
              <w:top w:type="dxa" w:w="50"/>
              <w:left w:type="dxa" w:w="100"/>
              <w:bottom w:type="dxa" w:w="50"/>
              <w:right w:type="dxa" w:w="100"/>
            </w:tcMar>
          </w:tcPr>
          <w:p>
            <w:r>
              <w:rPr>
                <w:rFonts w:ascii="Calibri" w:cs="Calibri" w:eastAsia="Calibri" w:hAnsi="Calibri"/>
                <w:color w:val="000000"/>
                <w:sz w:val="18"/>
                <w:szCs w:val="18"/>
              </w:rPr>
              <w:t xml:space="preserve">Windows quality update</w:t>
            </w:r>
          </w:p>
        </w:tc>
      </w:tr>
      <w:tr>
        <w:tc>
          <w:tcPr>
            <w:tcW w:type="dxa" w:w="1800"/>
            <w:shd w:fill="F2F4F7" w:val="clear"/>
            <w:tcMar>
              <w:top w:type="dxa" w:w="50"/>
              <w:left w:type="dxa" w:w="100"/>
              <w:bottom w:type="dxa" w:w="50"/>
              <w:right w:type="dxa" w:w="100"/>
            </w:tcMar>
          </w:tcPr>
          <w:p>
            <w:r>
              <w:rPr>
                <w:rFonts w:ascii="Consolas" w:cs="Consolas" w:eastAsia="Consolas" w:hAnsi="Consolas"/>
                <w:color w:val="1F4E79"/>
                <w:sz w:val="18"/>
                <w:szCs w:val="18"/>
              </w:rPr>
              <w:t xml:space="preserve">WDU</w:t>
            </w:r>
          </w:p>
        </w:tc>
        <w:tc>
          <w:tcPr>
            <w:tcW w:type="dxa" w:w="7800"/>
            <w:shd w:fill="F2F4F7" w:val="clear"/>
            <w:tcMar>
              <w:top w:type="dxa" w:w="50"/>
              <w:left w:type="dxa" w:w="100"/>
              <w:bottom w:type="dxa" w:w="50"/>
              <w:right w:type="dxa" w:w="100"/>
            </w:tcMar>
          </w:tcPr>
          <w:p>
            <w:r>
              <w:rPr>
                <w:rFonts w:ascii="Calibri" w:cs="Calibri" w:eastAsia="Calibri" w:hAnsi="Calibri"/>
                <w:color w:val="000000"/>
                <w:sz w:val="18"/>
                <w:szCs w:val="18"/>
              </w:rPr>
              <w:t xml:space="preserve">Windows driver update</w:t>
            </w:r>
          </w:p>
        </w:tc>
      </w:tr>
    </w:tbl>
    <w:p>
      <w:pPr>
        <w:spacing w:after="120"/>
      </w:pPr>
      <w:r>
        <w:rPr>
          <w:sz w:val="19"/>
          <w:szCs w:val="19"/>
        </w:rPr>
        <w:t xml:space="preserve">Use one update code set across both groups and policies. Do not use short forms like SU or FU in some places and WSU or WFU in others.</w:t>
      </w:r>
    </w:p>
    <w:p>
      <w:pPr>
        <w:pStyle w:val="Heading1"/>
        <w:spacing w:after="140" w:before="320"/>
      </w:pPr>
      <w:r>
        <w:rPr>
          <w:b/>
          <w:bCs/>
          <w:color w:val="1F4E79"/>
          <w:sz w:val="30"/>
          <w:szCs w:val="30"/>
        </w:rPr>
        <w:t xml:space="preserve">Worked examples for every function</w:t>
      </w:r>
    </w:p>
    <w:p>
      <w:pPr>
        <w:spacing w:after="120"/>
      </w:pPr>
      <w:r>
        <w:rPr>
          <w:sz w:val="21"/>
          <w:szCs w:val="21"/>
        </w:rPr>
        <w:t xml:space="preserve">Create one of each in your test tenant to proof the standard. Each row shows a sample object name and, where the function uses rings, the matching ring group names. These examples show the production form. Prepend T_ for any throwaway test object.</w:t>
      </w:r>
    </w:p>
    <w:p>
      <w:pPr>
        <w:pStyle w:val="Heading2"/>
        <w:spacing w:after="100" w:before="240"/>
      </w:pPr>
      <w:r>
        <w:rPr>
          <w:b/>
          <w:bCs/>
          <w:color w:val="444444"/>
          <w:sz w:val="24"/>
          <w:szCs w:val="24"/>
        </w:rPr>
        <w:t xml:space="preserve">Applications</w:t>
      </w:r>
    </w:p>
    <w:p>
      <w:pPr>
        <w:spacing w:after="40"/>
      </w:pPr>
      <w:r>
        <w:rPr>
          <w:rFonts w:ascii="Consolas" w:cs="Consolas" w:eastAsia="Consolas" w:hAnsi="Consolas"/>
          <w:color w:val="1F4E79"/>
          <w:sz w:val="19"/>
          <w:szCs w:val="19"/>
        </w:rPr>
        <w:t xml:space="preserve">MDM-WIN-USERS-APP-7Zip</w:t>
      </w:r>
    </w:p>
    <w:p>
      <w:pPr>
        <w:spacing w:after="40"/>
      </w:pPr>
      <w:r>
        <w:rPr>
          <w:rFonts w:ascii="Consolas" w:cs="Consolas" w:eastAsia="Consolas" w:hAnsi="Consolas"/>
          <w:color w:val="1F4E79"/>
          <w:sz w:val="19"/>
          <w:szCs w:val="19"/>
        </w:rPr>
        <w:t xml:space="preserve">Rings: MDM-WIN-USERS-APP-FieldTester / -APP-RNG1 / -APP-RNG2</w:t>
      </w:r>
    </w:p>
    <w:p>
      <w:pPr>
        <w:pStyle w:val="Heading2"/>
        <w:spacing w:after="100" w:before="240"/>
      </w:pPr>
      <w:r>
        <w:rPr>
          <w:b/>
          <w:bCs/>
          <w:color w:val="444444"/>
          <w:sz w:val="24"/>
          <w:szCs w:val="24"/>
        </w:rPr>
        <w:t xml:space="preserve">Configuration</w:t>
      </w:r>
    </w:p>
    <w:p>
      <w:pPr>
        <w:spacing w:after="40"/>
      </w:pPr>
      <w:r>
        <w:rPr>
          <w:rFonts w:ascii="Consolas" w:cs="Consolas" w:eastAsia="Consolas" w:hAnsi="Consolas"/>
          <w:color w:val="1F4E79"/>
          <w:sz w:val="19"/>
          <w:szCs w:val="19"/>
        </w:rPr>
        <w:t xml:space="preserve">MDM-WIN-DEVICES-CFG-DefaultPolicy</w:t>
      </w:r>
    </w:p>
    <w:p>
      <w:pPr>
        <w:spacing w:after="40"/>
      </w:pPr>
      <w:r>
        <w:rPr>
          <w:rFonts w:ascii="Consolas" w:cs="Consolas" w:eastAsia="Consolas" w:hAnsi="Consolas"/>
          <w:color w:val="1F4E79"/>
          <w:sz w:val="19"/>
          <w:szCs w:val="19"/>
        </w:rPr>
        <w:t xml:space="preserve">MDM-WIN-USERS-CFG-MX-EdgeBrowserDefault</w:t>
      </w:r>
    </w:p>
    <w:p>
      <w:pPr>
        <w:spacing w:after="40"/>
      </w:pPr>
      <w:r>
        <w:rPr>
          <w:rFonts w:ascii="Consolas" w:cs="Consolas" w:eastAsia="Consolas" w:hAnsi="Consolas"/>
          <w:color w:val="1F4E79"/>
          <w:sz w:val="19"/>
          <w:szCs w:val="19"/>
        </w:rPr>
        <w:t xml:space="preserve">Rings: MDM-WIN-DEVICES-CFG-FieldTester / -CFG-RNG1 / -CFG-RNG2</w:t>
      </w:r>
    </w:p>
    <w:p>
      <w:pPr>
        <w:pStyle w:val="Heading2"/>
        <w:spacing w:after="100" w:before="240"/>
      </w:pPr>
      <w:r>
        <w:rPr>
          <w:b/>
          <w:bCs/>
          <w:color w:val="444444"/>
          <w:sz w:val="24"/>
          <w:szCs w:val="24"/>
        </w:rPr>
        <w:t xml:space="preserve">Compliance</w:t>
      </w:r>
    </w:p>
    <w:p>
      <w:pPr>
        <w:spacing w:after="40"/>
      </w:pPr>
      <w:r>
        <w:rPr>
          <w:rFonts w:ascii="Consolas" w:cs="Consolas" w:eastAsia="Consolas" w:hAnsi="Consolas"/>
          <w:color w:val="1F4E79"/>
          <w:sz w:val="19"/>
          <w:szCs w:val="19"/>
        </w:rPr>
        <w:t xml:space="preserve">MDM-WIN-DEVICES-CMP-Default</w:t>
      </w:r>
    </w:p>
    <w:p>
      <w:pPr>
        <w:spacing w:after="40"/>
      </w:pPr>
      <w:r>
        <w:rPr>
          <w:rFonts w:ascii="Consolas" w:cs="Consolas" w:eastAsia="Consolas" w:hAnsi="Consolas"/>
          <w:color w:val="1F4E79"/>
          <w:sz w:val="19"/>
          <w:szCs w:val="19"/>
        </w:rPr>
        <w:t xml:space="preserve">Rings: MDM-WIN-DEVICES-CMP-FieldTester / -CMP-RNG1 / -CMP-RNG2</w:t>
      </w:r>
    </w:p>
    <w:p>
      <w:pPr>
        <w:pStyle w:val="Heading2"/>
        <w:spacing w:after="100" w:before="240"/>
      </w:pPr>
      <w:r>
        <w:rPr>
          <w:b/>
          <w:bCs/>
          <w:color w:val="444444"/>
          <w:sz w:val="24"/>
          <w:szCs w:val="24"/>
        </w:rPr>
        <w:t xml:space="preserve">Conditional Access</w:t>
      </w:r>
    </w:p>
    <w:p>
      <w:pPr>
        <w:spacing w:after="40"/>
      </w:pPr>
      <w:r>
        <w:rPr>
          <w:rFonts w:ascii="Consolas" w:cs="Consolas" w:eastAsia="Consolas" w:hAnsi="Consolas"/>
          <w:color w:val="1F4E79"/>
          <w:sz w:val="19"/>
          <w:szCs w:val="19"/>
        </w:rPr>
        <w:t xml:space="preserve">MDM-WIN-USERS-CA-RequireCompliantDevice</w:t>
      </w:r>
    </w:p>
    <w:p>
      <w:pPr>
        <w:spacing w:after="40"/>
      </w:pPr>
      <w:r>
        <w:rPr>
          <w:rFonts w:ascii="Consolas" w:cs="Consolas" w:eastAsia="Consolas" w:hAnsi="Consolas"/>
          <w:color w:val="1F4E79"/>
          <w:sz w:val="19"/>
          <w:szCs w:val="19"/>
        </w:rPr>
        <w:t xml:space="preserve">Pilot group: MDM-WIN-USERS-CA-Pilot</w:t>
      </w:r>
    </w:p>
    <w:p>
      <w:pPr>
        <w:spacing w:after="120"/>
      </w:pPr>
      <w:r>
        <w:rPr>
          <w:sz w:val="19"/>
          <w:szCs w:val="19"/>
        </w:rPr>
        <w:t xml:space="preserve">CA targets users, is authored in Entra, and does not support filters. Use a dedicated pilot user group instead of rings.</w:t>
      </w:r>
    </w:p>
    <w:p>
      <w:pPr>
        <w:pStyle w:val="Heading2"/>
        <w:spacing w:after="100" w:before="240"/>
      </w:pPr>
      <w:r>
        <w:rPr>
          <w:b/>
          <w:bCs/>
          <w:color w:val="444444"/>
          <w:sz w:val="24"/>
          <w:szCs w:val="24"/>
        </w:rPr>
        <w:t xml:space="preserve">Endpoint Privilege Management</w:t>
      </w:r>
    </w:p>
    <w:p>
      <w:pPr>
        <w:spacing w:after="40"/>
      </w:pPr>
      <w:r>
        <w:rPr>
          <w:rFonts w:ascii="Consolas" w:cs="Consolas" w:eastAsia="Consolas" w:hAnsi="Consolas"/>
          <w:color w:val="1F4E79"/>
          <w:sz w:val="19"/>
          <w:szCs w:val="19"/>
        </w:rPr>
        <w:t xml:space="preserve">MDM-WIN-DEVICES-EPM-DefaultElevation</w:t>
      </w:r>
    </w:p>
    <w:p>
      <w:pPr>
        <w:spacing w:after="40"/>
      </w:pPr>
      <w:r>
        <w:rPr>
          <w:rFonts w:ascii="Consolas" w:cs="Consolas" w:eastAsia="Consolas" w:hAnsi="Consolas"/>
          <w:color w:val="1F4E79"/>
          <w:sz w:val="19"/>
          <w:szCs w:val="19"/>
        </w:rPr>
        <w:t xml:space="preserve">Rings: MDM-WIN-DEVICES-EPM-FieldTester / -EPM-RNG1 / -EPM-RNG2</w:t>
      </w:r>
    </w:p>
    <w:p>
      <w:pPr>
        <w:pStyle w:val="Heading2"/>
        <w:spacing w:after="100" w:before="240"/>
      </w:pPr>
      <w:r>
        <w:rPr>
          <w:b/>
          <w:bCs/>
          <w:color w:val="444444"/>
          <w:sz w:val="24"/>
          <w:szCs w:val="24"/>
        </w:rPr>
        <w:t xml:space="preserve">App Control for Business</w:t>
      </w:r>
    </w:p>
    <w:p>
      <w:pPr>
        <w:spacing w:after="40"/>
      </w:pPr>
      <w:r>
        <w:rPr>
          <w:rFonts w:ascii="Consolas" w:cs="Consolas" w:eastAsia="Consolas" w:hAnsi="Consolas"/>
          <w:color w:val="1F4E79"/>
          <w:sz w:val="19"/>
          <w:szCs w:val="19"/>
        </w:rPr>
        <w:t xml:space="preserve">MDM-WIN-DEVICES-AC-DefaultAudit</w:t>
      </w:r>
    </w:p>
    <w:p>
      <w:pPr>
        <w:spacing w:after="40"/>
      </w:pPr>
      <w:r>
        <w:rPr>
          <w:rFonts w:ascii="Consolas" w:cs="Consolas" w:eastAsia="Consolas" w:hAnsi="Consolas"/>
          <w:color w:val="1F4E79"/>
          <w:sz w:val="19"/>
          <w:szCs w:val="19"/>
        </w:rPr>
        <w:t xml:space="preserve">Rings: MDM-WIN-DEVICES-AC-FieldTester / -AC-RNG1 / -AC-RNG2</w:t>
      </w:r>
    </w:p>
    <w:p>
      <w:pPr>
        <w:pStyle w:val="Heading2"/>
        <w:spacing w:after="100" w:before="240"/>
      </w:pPr>
      <w:r>
        <w:rPr>
          <w:b/>
          <w:bCs/>
          <w:color w:val="444444"/>
          <w:sz w:val="24"/>
          <w:szCs w:val="24"/>
        </w:rPr>
        <w:t xml:space="preserve">Attack Surface Reduction</w:t>
      </w:r>
    </w:p>
    <w:p>
      <w:pPr>
        <w:spacing w:after="40"/>
      </w:pPr>
      <w:r>
        <w:rPr>
          <w:rFonts w:ascii="Consolas" w:cs="Consolas" w:eastAsia="Consolas" w:hAnsi="Consolas"/>
          <w:color w:val="1F4E79"/>
          <w:sz w:val="19"/>
          <w:szCs w:val="19"/>
        </w:rPr>
        <w:t xml:space="preserve">MDM-WIN-DEVICES-ASR-StandardRules</w:t>
      </w:r>
    </w:p>
    <w:p>
      <w:pPr>
        <w:spacing w:after="40"/>
      </w:pPr>
      <w:r>
        <w:rPr>
          <w:rFonts w:ascii="Consolas" w:cs="Consolas" w:eastAsia="Consolas" w:hAnsi="Consolas"/>
          <w:color w:val="1F4E79"/>
          <w:sz w:val="19"/>
          <w:szCs w:val="19"/>
        </w:rPr>
        <w:t xml:space="preserve">Rings: MDM-WIN-DEVICES-ASR-FieldTester / -ASR-RNG1 / -ASR-RNG2</w:t>
      </w:r>
    </w:p>
    <w:p>
      <w:pPr>
        <w:pStyle w:val="Heading2"/>
        <w:spacing w:after="100" w:before="240"/>
      </w:pPr>
      <w:r>
        <w:rPr>
          <w:b/>
          <w:bCs/>
          <w:color w:val="444444"/>
          <w:sz w:val="24"/>
          <w:szCs w:val="24"/>
        </w:rPr>
        <w:t xml:space="preserve">Antivirus / Defender</w:t>
      </w:r>
    </w:p>
    <w:p>
      <w:pPr>
        <w:spacing w:after="40"/>
      </w:pPr>
      <w:r>
        <w:rPr>
          <w:rFonts w:ascii="Consolas" w:cs="Consolas" w:eastAsia="Consolas" w:hAnsi="Consolas"/>
          <w:color w:val="1F4E79"/>
          <w:sz w:val="19"/>
          <w:szCs w:val="19"/>
        </w:rPr>
        <w:t xml:space="preserve">MDM-WIN-USERS-DEF-Default</w:t>
      </w:r>
    </w:p>
    <w:p>
      <w:pPr>
        <w:spacing w:after="40"/>
      </w:pPr>
      <w:r>
        <w:rPr>
          <w:rFonts w:ascii="Consolas" w:cs="Consolas" w:eastAsia="Consolas" w:hAnsi="Consolas"/>
          <w:color w:val="1F4E79"/>
          <w:sz w:val="19"/>
          <w:szCs w:val="19"/>
        </w:rPr>
        <w:t xml:space="preserve">Rings: MDM-WIN-DEVICES-DEF-FieldTester / -DEF-RNG1 / -DEF-RNG2</w:t>
      </w:r>
    </w:p>
    <w:p>
      <w:pPr>
        <w:pStyle w:val="Heading2"/>
        <w:spacing w:after="100" w:before="240"/>
      </w:pPr>
      <w:r>
        <w:rPr>
          <w:b/>
          <w:bCs/>
          <w:color w:val="444444"/>
          <w:sz w:val="24"/>
          <w:szCs w:val="24"/>
        </w:rPr>
        <w:t xml:space="preserve">Endpoint Detection and Response</w:t>
      </w:r>
    </w:p>
    <w:p>
      <w:pPr>
        <w:spacing w:after="40"/>
      </w:pPr>
      <w:r>
        <w:rPr>
          <w:rFonts w:ascii="Consolas" w:cs="Consolas" w:eastAsia="Consolas" w:hAnsi="Consolas"/>
          <w:color w:val="1F4E79"/>
          <w:sz w:val="19"/>
          <w:szCs w:val="19"/>
        </w:rPr>
        <w:t xml:space="preserve">MDM-WIN-DEVICES-EDR-Onboarding</w:t>
      </w:r>
    </w:p>
    <w:p>
      <w:pPr>
        <w:spacing w:after="40"/>
      </w:pPr>
      <w:r>
        <w:rPr>
          <w:rFonts w:ascii="Consolas" w:cs="Consolas" w:eastAsia="Consolas" w:hAnsi="Consolas"/>
          <w:color w:val="1F4E79"/>
          <w:sz w:val="19"/>
          <w:szCs w:val="19"/>
        </w:rPr>
        <w:t xml:space="preserve">Rings: MDM-WIN-DEVICES-EDR-FieldTester / -EDR-RNG1 / -EDR-RNG2</w:t>
      </w:r>
    </w:p>
    <w:p>
      <w:pPr>
        <w:pStyle w:val="Heading2"/>
        <w:spacing w:after="100" w:before="240"/>
      </w:pPr>
      <w:r>
        <w:rPr>
          <w:b/>
          <w:bCs/>
          <w:color w:val="444444"/>
          <w:sz w:val="24"/>
          <w:szCs w:val="24"/>
        </w:rPr>
        <w:t xml:space="preserve">Disk Encryption</w:t>
      </w:r>
    </w:p>
    <w:p>
      <w:pPr>
        <w:spacing w:after="40"/>
      </w:pPr>
      <w:r>
        <w:rPr>
          <w:rFonts w:ascii="Consolas" w:cs="Consolas" w:eastAsia="Consolas" w:hAnsi="Consolas"/>
          <w:color w:val="1F4E79"/>
          <w:sz w:val="19"/>
          <w:szCs w:val="19"/>
        </w:rPr>
        <w:t xml:space="preserve">MDM-WIN-DEVICES-ENC-BitLocker</w:t>
      </w:r>
    </w:p>
    <w:p>
      <w:pPr>
        <w:spacing w:after="40"/>
      </w:pPr>
      <w:r>
        <w:rPr>
          <w:rFonts w:ascii="Consolas" w:cs="Consolas" w:eastAsia="Consolas" w:hAnsi="Consolas"/>
          <w:color w:val="1F4E79"/>
          <w:sz w:val="19"/>
          <w:szCs w:val="19"/>
        </w:rPr>
        <w:t xml:space="preserve">Rings: MDM-WIN-DEVICES-ENC-FieldTester / -ENC-RNG1 / -ENC-RNG2</w:t>
      </w:r>
    </w:p>
    <w:p>
      <w:pPr>
        <w:pStyle w:val="Heading2"/>
        <w:spacing w:after="100" w:before="240"/>
      </w:pPr>
      <w:r>
        <w:rPr>
          <w:b/>
          <w:bCs/>
          <w:color w:val="444444"/>
          <w:sz w:val="24"/>
          <w:szCs w:val="24"/>
        </w:rPr>
        <w:t xml:space="preserve">Firewall</w:t>
      </w:r>
    </w:p>
    <w:p>
      <w:pPr>
        <w:spacing w:after="40"/>
      </w:pPr>
      <w:r>
        <w:rPr>
          <w:rFonts w:ascii="Consolas" w:cs="Consolas" w:eastAsia="Consolas" w:hAnsi="Consolas"/>
          <w:color w:val="1F4E79"/>
          <w:sz w:val="19"/>
          <w:szCs w:val="19"/>
        </w:rPr>
        <w:t xml:space="preserve">MDM-WIN-DEVICES-FW-BaseRules</w:t>
      </w:r>
    </w:p>
    <w:p>
      <w:pPr>
        <w:spacing w:after="40"/>
      </w:pPr>
      <w:r>
        <w:rPr>
          <w:rFonts w:ascii="Consolas" w:cs="Consolas" w:eastAsia="Consolas" w:hAnsi="Consolas"/>
          <w:color w:val="1F4E79"/>
          <w:sz w:val="19"/>
          <w:szCs w:val="19"/>
        </w:rPr>
        <w:t xml:space="preserve">Rings: MDM-WIN-DEVICES-FW-FieldTester / -FW-RNG1 / -FW-RNG2</w:t>
      </w:r>
    </w:p>
    <w:p>
      <w:pPr>
        <w:pStyle w:val="Heading2"/>
        <w:spacing w:after="100" w:before="240"/>
      </w:pPr>
      <w:r>
        <w:rPr>
          <w:b/>
          <w:bCs/>
          <w:color w:val="444444"/>
          <w:sz w:val="24"/>
          <w:szCs w:val="24"/>
        </w:rPr>
        <w:t xml:space="preserve">Account Protection</w:t>
      </w:r>
    </w:p>
    <w:p>
      <w:pPr>
        <w:spacing w:after="40"/>
      </w:pPr>
      <w:r>
        <w:rPr>
          <w:rFonts w:ascii="Consolas" w:cs="Consolas" w:eastAsia="Consolas" w:hAnsi="Consolas"/>
          <w:color w:val="1F4E79"/>
          <w:sz w:val="19"/>
          <w:szCs w:val="19"/>
        </w:rPr>
        <w:t xml:space="preserve">MDM-WIN-DEVICES-ACP-CredentialGuard</w:t>
      </w:r>
    </w:p>
    <w:p>
      <w:pPr>
        <w:spacing w:after="40"/>
      </w:pPr>
      <w:r>
        <w:rPr>
          <w:rFonts w:ascii="Consolas" w:cs="Consolas" w:eastAsia="Consolas" w:hAnsi="Consolas"/>
          <w:color w:val="1F4E79"/>
          <w:sz w:val="19"/>
          <w:szCs w:val="19"/>
        </w:rPr>
        <w:t xml:space="preserve">Rings: MDM-WIN-DEVICES-ACP-FieldTester / -ACP-RNG1 / -ACP-RNG2</w:t>
      </w:r>
    </w:p>
    <w:p>
      <w:pPr>
        <w:pStyle w:val="Heading2"/>
        <w:spacing w:after="100" w:before="240"/>
      </w:pPr>
      <w:r>
        <w:rPr>
          <w:b/>
          <w:bCs/>
          <w:color w:val="444444"/>
          <w:sz w:val="24"/>
          <w:szCs w:val="24"/>
        </w:rPr>
        <w:t xml:space="preserve">Security Baseline</w:t>
      </w:r>
    </w:p>
    <w:p>
      <w:pPr>
        <w:spacing w:after="40"/>
      </w:pPr>
      <w:r>
        <w:rPr>
          <w:rFonts w:ascii="Consolas" w:cs="Consolas" w:eastAsia="Consolas" w:hAnsi="Consolas"/>
          <w:color w:val="1F4E79"/>
          <w:sz w:val="19"/>
          <w:szCs w:val="19"/>
        </w:rPr>
        <w:t xml:space="preserve">MDM-WIN-DEVICES-SB-Windows</w:t>
      </w:r>
    </w:p>
    <w:p>
      <w:pPr>
        <w:spacing w:after="40"/>
      </w:pPr>
      <w:r>
        <w:rPr>
          <w:rFonts w:ascii="Consolas" w:cs="Consolas" w:eastAsia="Consolas" w:hAnsi="Consolas"/>
          <w:color w:val="1F4E79"/>
          <w:sz w:val="19"/>
          <w:szCs w:val="19"/>
        </w:rPr>
        <w:t xml:space="preserve">Rings: MDM-WIN-DEVICES-SB-FieldTester / -SB-RNG1 / -SB-RNG2</w:t>
      </w:r>
    </w:p>
    <w:p>
      <w:pPr>
        <w:pStyle w:val="Heading2"/>
        <w:spacing w:after="100" w:before="240"/>
      </w:pPr>
      <w:r>
        <w:rPr>
          <w:b/>
          <w:bCs/>
          <w:color w:val="444444"/>
          <w:sz w:val="24"/>
          <w:szCs w:val="24"/>
        </w:rPr>
        <w:t xml:space="preserve">Windows LAPS</w:t>
      </w:r>
    </w:p>
    <w:p>
      <w:pPr>
        <w:spacing w:after="40"/>
      </w:pPr>
      <w:r>
        <w:rPr>
          <w:rFonts w:ascii="Consolas" w:cs="Consolas" w:eastAsia="Consolas" w:hAnsi="Consolas"/>
          <w:color w:val="1F4E79"/>
          <w:sz w:val="19"/>
          <w:szCs w:val="19"/>
        </w:rPr>
        <w:t xml:space="preserve">MDM-WIN-DEVICES-LAPS-Default</w:t>
      </w:r>
    </w:p>
    <w:p>
      <w:pPr>
        <w:spacing w:after="40"/>
      </w:pPr>
      <w:r>
        <w:rPr>
          <w:rFonts w:ascii="Consolas" w:cs="Consolas" w:eastAsia="Consolas" w:hAnsi="Consolas"/>
          <w:color w:val="1F4E79"/>
          <w:sz w:val="19"/>
          <w:szCs w:val="19"/>
        </w:rPr>
        <w:t xml:space="preserve">Rings: MDM-WIN-DEVICES-LAPS-FieldTester / -LAPS-RNG1 / -LAPS-RNG2</w:t>
      </w:r>
    </w:p>
    <w:p>
      <w:pPr>
        <w:pStyle w:val="Heading2"/>
        <w:spacing w:after="100" w:before="240"/>
      </w:pPr>
      <w:r>
        <w:rPr>
          <w:b/>
          <w:bCs/>
          <w:color w:val="444444"/>
          <w:sz w:val="24"/>
          <w:szCs w:val="24"/>
        </w:rPr>
        <w:t xml:space="preserve">App Protection Policy (MAM)</w:t>
      </w:r>
    </w:p>
    <w:p>
      <w:pPr>
        <w:spacing w:after="40"/>
      </w:pPr>
      <w:r>
        <w:rPr>
          <w:rFonts w:ascii="Consolas" w:cs="Consolas" w:eastAsia="Consolas" w:hAnsi="Consolas"/>
          <w:color w:val="1F4E79"/>
          <w:sz w:val="19"/>
          <w:szCs w:val="19"/>
        </w:rPr>
        <w:t xml:space="preserve">MAM-IOS-USERS-APP-OutlookDataProtection</w:t>
      </w:r>
    </w:p>
    <w:p>
      <w:pPr>
        <w:spacing w:after="40"/>
      </w:pPr>
      <w:r>
        <w:rPr>
          <w:rFonts w:ascii="Consolas" w:cs="Consolas" w:eastAsia="Consolas" w:hAnsi="Consolas"/>
          <w:color w:val="1F4E79"/>
          <w:sz w:val="19"/>
          <w:szCs w:val="19"/>
        </w:rPr>
        <w:t xml:space="preserve">Rings: MAM-IOS-USERS-APP-FieldTester / -APP-RNG1</w:t>
      </w:r>
    </w:p>
    <w:p>
      <w:pPr>
        <w:spacing w:after="120"/>
      </w:pPr>
      <w:r>
        <w:rPr>
          <w:sz w:val="19"/>
          <w:szCs w:val="19"/>
        </w:rPr>
        <w:t xml:space="preserve">MAM does not support device filters. Target user groups.</w:t>
      </w:r>
    </w:p>
    <w:p>
      <w:pPr>
        <w:pStyle w:val="Heading2"/>
        <w:spacing w:after="100" w:before="240"/>
      </w:pPr>
      <w:r>
        <w:rPr>
          <w:b/>
          <w:bCs/>
          <w:color w:val="444444"/>
          <w:sz w:val="24"/>
          <w:szCs w:val="24"/>
        </w:rPr>
        <w:t xml:space="preserve">App Configuration Policy</w:t>
      </w:r>
    </w:p>
    <w:p>
      <w:pPr>
        <w:spacing w:after="40"/>
      </w:pPr>
      <w:r>
        <w:rPr>
          <w:rFonts w:ascii="Consolas" w:cs="Consolas" w:eastAsia="Consolas" w:hAnsi="Consolas"/>
          <w:color w:val="1F4E79"/>
          <w:sz w:val="19"/>
          <w:szCs w:val="19"/>
        </w:rPr>
        <w:t xml:space="preserve">MDM-IOS-USERS-ACP-APP-EdgeSettings</w:t>
      </w:r>
    </w:p>
    <w:p>
      <w:pPr>
        <w:pStyle w:val="Heading2"/>
        <w:spacing w:after="100" w:before="240"/>
      </w:pPr>
      <w:r>
        <w:rPr>
          <w:b/>
          <w:bCs/>
          <w:color w:val="444444"/>
          <w:sz w:val="24"/>
          <w:szCs w:val="24"/>
        </w:rPr>
        <w:t xml:space="preserve">Autopilot</w:t>
      </w:r>
    </w:p>
    <w:p>
      <w:pPr>
        <w:spacing w:after="40"/>
      </w:pPr>
      <w:r>
        <w:rPr>
          <w:rFonts w:ascii="Consolas" w:cs="Consolas" w:eastAsia="Consolas" w:hAnsi="Consolas"/>
          <w:color w:val="1F4E79"/>
          <w:sz w:val="19"/>
          <w:szCs w:val="19"/>
        </w:rPr>
        <w:t xml:space="preserve">MDM-WIN-DEVICES-AP-StandardProfile</w:t>
      </w:r>
    </w:p>
    <w:p>
      <w:pPr>
        <w:spacing w:after="120"/>
      </w:pPr>
      <w:r>
        <w:rPr>
          <w:sz w:val="19"/>
          <w:szCs w:val="19"/>
        </w:rPr>
        <w:t xml:space="preserve">Autopilot profiles do not support filters and run before dynamic-group membership resolves. Target an assigned group or a well-established dynamic group.</w:t>
      </w:r>
    </w:p>
    <w:p>
      <w:pPr>
        <w:pStyle w:val="Heading2"/>
        <w:spacing w:after="100" w:before="240"/>
      </w:pPr>
      <w:r>
        <w:rPr>
          <w:b/>
          <w:bCs/>
          <w:color w:val="444444"/>
          <w:sz w:val="24"/>
          <w:szCs w:val="24"/>
        </w:rPr>
        <w:t xml:space="preserve">Enrollment Status Page</w:t>
      </w:r>
    </w:p>
    <w:p>
      <w:pPr>
        <w:spacing w:after="40"/>
      </w:pPr>
      <w:r>
        <w:rPr>
          <w:rFonts w:ascii="Consolas" w:cs="Consolas" w:eastAsia="Consolas" w:hAnsi="Consolas"/>
          <w:color w:val="1F4E79"/>
          <w:sz w:val="19"/>
          <w:szCs w:val="19"/>
        </w:rPr>
        <w:t xml:space="preserve">MDM-WIN-DEVICES-ESP-Default</w:t>
      </w:r>
    </w:p>
    <w:p>
      <w:pPr>
        <w:spacing w:after="120"/>
      </w:pPr>
      <w:r>
        <w:rPr>
          <w:sz w:val="19"/>
          <w:szCs w:val="19"/>
        </w:rPr>
        <w:t xml:space="preserve">Same pre-enrollment timing caveat as Autopilot.</w:t>
      </w:r>
    </w:p>
    <w:p>
      <w:pPr>
        <w:pStyle w:val="Heading2"/>
        <w:spacing w:after="100" w:before="240"/>
      </w:pPr>
      <w:r>
        <w:rPr>
          <w:b/>
          <w:bCs/>
          <w:color w:val="444444"/>
          <w:sz w:val="24"/>
          <w:szCs w:val="24"/>
        </w:rPr>
        <w:t xml:space="preserve">Windows 365</w:t>
      </w:r>
    </w:p>
    <w:p>
      <w:pPr>
        <w:spacing w:after="40"/>
      </w:pPr>
      <w:r>
        <w:rPr>
          <w:rFonts w:ascii="Consolas" w:cs="Consolas" w:eastAsia="Consolas" w:hAnsi="Consolas"/>
          <w:color w:val="1F4E79"/>
          <w:sz w:val="19"/>
          <w:szCs w:val="19"/>
        </w:rPr>
        <w:t xml:space="preserve">MDM-WIN-USERS-W365-ProvisioningStandard</w:t>
      </w:r>
    </w:p>
    <w:p>
      <w:pPr>
        <w:pStyle w:val="Heading2"/>
        <w:spacing w:after="100" w:before="240"/>
      </w:pPr>
      <w:r>
        <w:rPr>
          <w:b/>
          <w:bCs/>
          <w:color w:val="444444"/>
          <w:sz w:val="24"/>
          <w:szCs w:val="24"/>
        </w:rPr>
        <w:t xml:space="preserve">Remediation script</w:t>
      </w:r>
    </w:p>
    <w:p>
      <w:pPr>
        <w:spacing w:after="40"/>
      </w:pPr>
      <w:r>
        <w:rPr>
          <w:rFonts w:ascii="Consolas" w:cs="Consolas" w:eastAsia="Consolas" w:hAnsi="Consolas"/>
          <w:color w:val="1F4E79"/>
          <w:sz w:val="19"/>
          <w:szCs w:val="19"/>
        </w:rPr>
        <w:t xml:space="preserve">MDM-WIN-DEVICES-RS-WSLDistributionList</w:t>
      </w:r>
    </w:p>
    <w:p>
      <w:pPr>
        <w:pStyle w:val="Heading2"/>
        <w:spacing w:after="100" w:before="240"/>
      </w:pPr>
      <w:r>
        <w:rPr>
          <w:b/>
          <w:bCs/>
          <w:color w:val="444444"/>
          <w:sz w:val="24"/>
          <w:szCs w:val="24"/>
        </w:rPr>
        <w:t xml:space="preserve">Platform script</w:t>
      </w:r>
    </w:p>
    <w:p>
      <w:pPr>
        <w:spacing w:after="40"/>
      </w:pPr>
      <w:r>
        <w:rPr>
          <w:rFonts w:ascii="Consolas" w:cs="Consolas" w:eastAsia="Consolas" w:hAnsi="Consolas"/>
          <w:color w:val="1F4E79"/>
          <w:sz w:val="19"/>
          <w:szCs w:val="19"/>
        </w:rPr>
        <w:t xml:space="preserve">MDM-WIN-DEVICES-PS-SetRegistryKey</w:t>
      </w:r>
    </w:p>
    <w:p>
      <w:pPr>
        <w:spacing w:after="120"/>
      </w:pPr>
      <w:r>
        <w:rPr>
          <w:sz w:val="19"/>
          <w:szCs w:val="19"/>
        </w:rPr>
        <w:t xml:space="preserve">Platform scripts do not support filters. Target a group.</w:t>
      </w:r>
    </w:p>
    <w:p>
      <w:pPr>
        <w:pStyle w:val="Heading2"/>
        <w:spacing w:after="100" w:before="240"/>
      </w:pPr>
      <w:r>
        <w:rPr>
          <w:b/>
          <w:bCs/>
          <w:color w:val="444444"/>
          <w:sz w:val="24"/>
          <w:szCs w:val="24"/>
        </w:rPr>
        <w:t xml:space="preserve">Windows Update ring</w:t>
      </w:r>
    </w:p>
    <w:p>
      <w:pPr>
        <w:spacing w:after="40"/>
      </w:pPr>
      <w:r>
        <w:rPr>
          <w:rFonts w:ascii="Consolas" w:cs="Consolas" w:eastAsia="Consolas" w:hAnsi="Consolas"/>
          <w:color w:val="1F4E79"/>
          <w:sz w:val="19"/>
          <w:szCs w:val="19"/>
        </w:rPr>
        <w:t xml:space="preserve">MDM-WIN-DEVICES-WUR-Broad</w:t>
      </w:r>
    </w:p>
    <w:p>
      <w:pPr>
        <w:spacing w:after="40"/>
      </w:pPr>
      <w:r>
        <w:rPr>
          <w:rFonts w:ascii="Consolas" w:cs="Consolas" w:eastAsia="Consolas" w:hAnsi="Consolas"/>
          <w:color w:val="1F4E79"/>
          <w:sz w:val="19"/>
          <w:szCs w:val="19"/>
        </w:rPr>
        <w:t xml:space="preserve">Rings: MDM-WIN-DEVICES-WUR-FieldTester / -WUR-RNG1 / -WUR-RNG2</w:t>
      </w:r>
    </w:p>
    <w:p>
      <w:pPr>
        <w:pStyle w:val="Heading2"/>
        <w:spacing w:after="100" w:before="240"/>
      </w:pPr>
      <w:r>
        <w:rPr>
          <w:b/>
          <w:bCs/>
          <w:color w:val="444444"/>
          <w:sz w:val="24"/>
          <w:szCs w:val="24"/>
        </w:rPr>
        <w:t xml:space="preserve">Windows updates (feature / quality / driver / security)</w:t>
      </w:r>
    </w:p>
    <w:p>
      <w:pPr>
        <w:spacing w:after="40"/>
      </w:pPr>
      <w:r>
        <w:rPr>
          <w:rFonts w:ascii="Consolas" w:cs="Consolas" w:eastAsia="Consolas" w:hAnsi="Consolas"/>
          <w:color w:val="1F4E79"/>
          <w:sz w:val="19"/>
          <w:szCs w:val="19"/>
        </w:rPr>
        <w:t xml:space="preserve">MDM-WIN-DEVICES-WSU-FieldTester</w:t>
      </w:r>
    </w:p>
    <w:p>
      <w:pPr>
        <w:spacing w:after="40"/>
      </w:pPr>
      <w:r>
        <w:rPr>
          <w:rFonts w:ascii="Consolas" w:cs="Consolas" w:eastAsia="Consolas" w:hAnsi="Consolas"/>
          <w:color w:val="1F4E79"/>
          <w:sz w:val="19"/>
          <w:szCs w:val="19"/>
        </w:rPr>
        <w:t xml:space="preserve">MDM-WIN-DEVICES-WFU-24H2</w:t>
      </w:r>
    </w:p>
    <w:p>
      <w:pPr>
        <w:spacing w:after="40"/>
      </w:pPr>
      <w:r>
        <w:rPr>
          <w:rFonts w:ascii="Consolas" w:cs="Consolas" w:eastAsia="Consolas" w:hAnsi="Consolas"/>
          <w:color w:val="1F4E79"/>
          <w:sz w:val="19"/>
          <w:szCs w:val="19"/>
        </w:rPr>
        <w:t xml:space="preserve">MDM-WIN-DEVICES-WQU-HotpatchV1</w:t>
      </w:r>
    </w:p>
    <w:p>
      <w:pPr>
        <w:spacing w:after="40"/>
      </w:pPr>
      <w:r>
        <w:rPr>
          <w:rFonts w:ascii="Consolas" w:cs="Consolas" w:eastAsia="Consolas" w:hAnsi="Consolas"/>
          <w:color w:val="1F4E79"/>
          <w:sz w:val="19"/>
          <w:szCs w:val="19"/>
        </w:rPr>
        <w:t xml:space="preserve">MDM-WIN-DEVICES-WDU-ManualApproval</w:t>
      </w:r>
    </w:p>
    <w:p>
      <w:pPr>
        <w:pStyle w:val="Heading1"/>
        <w:spacing w:after="140" w:before="320"/>
      </w:pPr>
      <w:r>
        <w:rPr>
          <w:b/>
          <w:bCs/>
          <w:color w:val="1F4E79"/>
          <w:sz w:val="30"/>
          <w:szCs w:val="30"/>
        </w:rPr>
        <w:t xml:space="preserve">Functions that cannot use filters</w:t>
      </w:r>
    </w:p>
    <w:p>
      <w:pPr>
        <w:spacing w:after="120"/>
      </w:pPr>
      <w:r>
        <w:rPr>
          <w:sz w:val="21"/>
          <w:szCs w:val="21"/>
        </w:rPr>
        <w:t xml:space="preserve">Four functions must target real groups, not All Devices plus a filter. Two of them also run before dynamic-group membership resolves, so use assigned groups or established dynamic groups.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600"/>
        <w:gridCol w:w="5000"/>
      </w:tblGrid>
      <w:tr>
        <w:trPr>
          <w:tblHeader/>
        </w:trPr>
        <w:tc>
          <w:tcPr>
            <w:tcW w:type="dxa" w:w="4600"/>
            <w:shd w:fill="1F4E79" w:val="clear"/>
            <w:tcMar>
              <w:top w:type="dxa" w:w="60"/>
              <w:left w:type="dxa" w:w="100"/>
              <w:bottom w:type="dxa" w:w="60"/>
              <w:right w:type="dxa" w:w="100"/>
            </w:tcMar>
          </w:tcPr>
          <w:p>
            <w:r>
              <w:rPr>
                <w:b/>
                <w:bCs/>
                <w:color w:val="FFFFFF"/>
                <w:sz w:val="19"/>
                <w:szCs w:val="19"/>
              </w:rPr>
              <w:t xml:space="preserve">Function</w:t>
            </w:r>
          </w:p>
        </w:tc>
        <w:tc>
          <w:tcPr>
            <w:tcW w:type="dxa" w:w="5000"/>
            <w:shd w:fill="1F4E79" w:val="clear"/>
            <w:tcMar>
              <w:top w:type="dxa" w:w="60"/>
              <w:left w:type="dxa" w:w="100"/>
              <w:bottom w:type="dxa" w:w="60"/>
              <w:right w:type="dxa" w:w="100"/>
            </w:tcMar>
          </w:tcPr>
          <w:p>
            <w:r>
              <w:rPr>
                <w:b/>
                <w:bCs/>
                <w:color w:val="FFFFFF"/>
                <w:sz w:val="19"/>
                <w:szCs w:val="19"/>
              </w:rPr>
              <w:t xml:space="preserve">Reason</w:t>
            </w:r>
          </w:p>
        </w:tc>
      </w:tr>
      <w:tr>
        <w:tc>
          <w:tcPr>
            <w:tcW w:type="dxa" w:w="4600"/>
            <w:shd w:fill="F2F4F7" w:val="clear"/>
            <w:tcMar>
              <w:top w:type="dxa" w:w="50"/>
              <w:left w:type="dxa" w:w="100"/>
              <w:bottom w:type="dxa" w:w="50"/>
              <w:right w:type="dxa" w:w="100"/>
            </w:tcMar>
          </w:tcPr>
          <w:p>
            <w:r>
              <w:rPr>
                <w:rFonts w:ascii="Consolas" w:cs="Consolas" w:eastAsia="Consolas" w:hAnsi="Consolas"/>
                <w:color w:val="1F4E79"/>
                <w:sz w:val="18"/>
                <w:szCs w:val="18"/>
              </w:rPr>
              <w:t xml:space="preserve">Autopilot deployment profile</w:t>
            </w:r>
          </w:p>
        </w:tc>
        <w:tc>
          <w:tcPr>
            <w:tcW w:type="dxa" w:w="5000"/>
            <w:shd w:fill="F2F4F7" w:val="clear"/>
            <w:tcMar>
              <w:top w:type="dxa" w:w="50"/>
              <w:left w:type="dxa" w:w="100"/>
              <w:bottom w:type="dxa" w:w="50"/>
              <w:right w:type="dxa" w:w="100"/>
            </w:tcMar>
          </w:tcPr>
          <w:p>
            <w:r>
              <w:rPr>
                <w:rFonts w:ascii="Calibri" w:cs="Calibri" w:eastAsia="Calibri" w:hAnsi="Calibri"/>
                <w:color w:val="000000"/>
                <w:sz w:val="18"/>
                <w:szCs w:val="18"/>
              </w:rPr>
              <w:t xml:space="preserve">No filter. Runs pre-enrollment.</w:t>
            </w:r>
          </w:p>
        </w:tc>
      </w:tr>
      <w:tr>
        <w:tc>
          <w:tcPr>
            <w:tcW w:type="dxa" w:w="4600"/>
            <w:shd w:fill="FFFFFF" w:val="clear"/>
            <w:tcMar>
              <w:top w:type="dxa" w:w="50"/>
              <w:left w:type="dxa" w:w="100"/>
              <w:bottom w:type="dxa" w:w="50"/>
              <w:right w:type="dxa" w:w="100"/>
            </w:tcMar>
          </w:tcPr>
          <w:p>
            <w:r>
              <w:rPr>
                <w:rFonts w:ascii="Consolas" w:cs="Consolas" w:eastAsia="Consolas" w:hAnsi="Consolas"/>
                <w:color w:val="1F4E79"/>
                <w:sz w:val="18"/>
                <w:szCs w:val="18"/>
              </w:rPr>
              <w:t xml:space="preserve">Enrollment Status Page</w:t>
            </w:r>
          </w:p>
        </w:tc>
        <w:tc>
          <w:tcPr>
            <w:tcW w:type="dxa" w:w="5000"/>
            <w:shd w:fill="FFFFFF" w:val="clear"/>
            <w:tcMar>
              <w:top w:type="dxa" w:w="50"/>
              <w:left w:type="dxa" w:w="100"/>
              <w:bottom w:type="dxa" w:w="50"/>
              <w:right w:type="dxa" w:w="100"/>
            </w:tcMar>
          </w:tcPr>
          <w:p>
            <w:r>
              <w:rPr>
                <w:rFonts w:ascii="Calibri" w:cs="Calibri" w:eastAsia="Calibri" w:hAnsi="Calibri"/>
                <w:color w:val="000000"/>
                <w:sz w:val="18"/>
                <w:szCs w:val="18"/>
              </w:rPr>
              <w:t xml:space="preserve">No filter. Runs pre-enrollment.</w:t>
            </w:r>
          </w:p>
        </w:tc>
      </w:tr>
      <w:tr>
        <w:tc>
          <w:tcPr>
            <w:tcW w:type="dxa" w:w="4600"/>
            <w:shd w:fill="F2F4F7" w:val="clear"/>
            <w:tcMar>
              <w:top w:type="dxa" w:w="50"/>
              <w:left w:type="dxa" w:w="100"/>
              <w:bottom w:type="dxa" w:w="50"/>
              <w:right w:type="dxa" w:w="100"/>
            </w:tcMar>
          </w:tcPr>
          <w:p>
            <w:r>
              <w:rPr>
                <w:rFonts w:ascii="Consolas" w:cs="Consolas" w:eastAsia="Consolas" w:hAnsi="Consolas"/>
                <w:color w:val="1F4E79"/>
                <w:sz w:val="18"/>
                <w:szCs w:val="18"/>
              </w:rPr>
              <w:t xml:space="preserve">Platform script</w:t>
            </w:r>
          </w:p>
        </w:tc>
        <w:tc>
          <w:tcPr>
            <w:tcW w:type="dxa" w:w="5000"/>
            <w:shd w:fill="F2F4F7" w:val="clear"/>
            <w:tcMar>
              <w:top w:type="dxa" w:w="50"/>
              <w:left w:type="dxa" w:w="100"/>
              <w:bottom w:type="dxa" w:w="50"/>
              <w:right w:type="dxa" w:w="100"/>
            </w:tcMar>
          </w:tcPr>
          <w:p>
            <w:r>
              <w:rPr>
                <w:rFonts w:ascii="Calibri" w:cs="Calibri" w:eastAsia="Calibri" w:hAnsi="Calibri"/>
                <w:color w:val="000000"/>
                <w:sz w:val="18"/>
                <w:szCs w:val="18"/>
              </w:rPr>
              <w:t xml:space="preserve">No filter support.</w:t>
            </w:r>
          </w:p>
        </w:tc>
      </w:tr>
      <w:tr>
        <w:tc>
          <w:tcPr>
            <w:tcW w:type="dxa" w:w="4600"/>
            <w:shd w:fill="FFFFFF" w:val="clear"/>
            <w:tcMar>
              <w:top w:type="dxa" w:w="50"/>
              <w:left w:type="dxa" w:w="100"/>
              <w:bottom w:type="dxa" w:w="50"/>
              <w:right w:type="dxa" w:w="100"/>
            </w:tcMar>
          </w:tcPr>
          <w:p>
            <w:r>
              <w:rPr>
                <w:rFonts w:ascii="Consolas" w:cs="Consolas" w:eastAsia="Consolas" w:hAnsi="Consolas"/>
                <w:color w:val="1F4E79"/>
                <w:sz w:val="18"/>
                <w:szCs w:val="18"/>
              </w:rPr>
              <w:t xml:space="preserve">App protection policy (MAM)</w:t>
            </w:r>
          </w:p>
        </w:tc>
        <w:tc>
          <w:tcPr>
            <w:tcW w:type="dxa" w:w="5000"/>
            <w:shd w:fill="FFFFFF" w:val="clear"/>
            <w:tcMar>
              <w:top w:type="dxa" w:w="50"/>
              <w:left w:type="dxa" w:w="100"/>
              <w:bottom w:type="dxa" w:w="50"/>
              <w:right w:type="dxa" w:w="100"/>
            </w:tcMar>
          </w:tcPr>
          <w:p>
            <w:r>
              <w:rPr>
                <w:rFonts w:ascii="Calibri" w:cs="Calibri" w:eastAsia="Calibri" w:hAnsi="Calibri"/>
                <w:color w:val="000000"/>
                <w:sz w:val="18"/>
                <w:szCs w:val="18"/>
              </w:rPr>
              <w:t xml:space="preserve">No device filter support.</w:t>
            </w:r>
          </w:p>
        </w:tc>
      </w:tr>
    </w:tbl>
    <w:p>
      <w:pPr>
        <w:pStyle w:val="Heading1"/>
        <w:spacing w:after="140" w:before="320"/>
      </w:pPr>
      <w:r>
        <w:rPr>
          <w:b/>
          <w:bCs/>
          <w:color w:val="1F4E79"/>
          <w:sz w:val="30"/>
          <w:szCs w:val="30"/>
        </w:rPr>
        <w:t xml:space="preserve">Descriptions</w:t>
      </w:r>
    </w:p>
    <w:p>
      <w:pPr>
        <w:spacing w:after="120"/>
      </w:pPr>
      <w:r>
        <w:rPr>
          <w:sz w:val="21"/>
          <w:szCs w:val="21"/>
        </w:rPr>
        <w:t xml:space="preserve">Intune has weak version control and state tracking. Your descriptions carry that load. Every object gets a structured description.</w:t>
      </w:r>
    </w:p>
    <w:p>
      <w:pPr>
        <w:spacing w:after="120"/>
      </w:pPr>
      <w:r>
        <w:rPr>
          <w:b/>
          <w:bCs/>
          <w:sz w:val="21"/>
          <w:szCs w:val="21"/>
        </w:rPr>
        <w:t xml:space="preserve">Examples:</w:t>
      </w:r>
    </w:p>
    <w:p>
      <w:pPr>
        <w:spacing w:after="40"/>
      </w:pPr>
      <w:r>
        <w:rPr>
          <w:rFonts w:ascii="Consolas" w:cs="Consolas" w:eastAsia="Consolas" w:hAnsi="Consolas"/>
          <w:color w:val="1F4E79"/>
          <w:sz w:val="19"/>
          <w:szCs w:val="19"/>
        </w:rPr>
        <w:t xml:space="preserve">MDM-WIN-USERS-CFG-MX-EdgeBrowserDefault</w:t>
      </w:r>
    </w:p>
    <w:p>
      <w:pPr>
        <w:spacing w:after="120"/>
      </w:pPr>
      <w:r>
        <w:rPr>
          <w:sz w:val="19"/>
          <w:szCs w:val="19"/>
        </w:rPr>
        <w:t xml:space="preserve">Group for the default Mexico Edge policy. Policy GUID 8eee18e6-62bf-4ff2-b5d9-f08fcdea68a9.</w:t>
      </w:r>
    </w:p>
    <w:p>
      <w:pPr>
        <w:spacing w:after="40"/>
      </w:pPr>
      <w:r>
        <w:rPr>
          <w:rFonts w:ascii="Consolas" w:cs="Consolas" w:eastAsia="Consolas" w:hAnsi="Consolas"/>
          <w:color w:val="1F4E79"/>
          <w:sz w:val="19"/>
          <w:szCs w:val="19"/>
        </w:rPr>
        <w:t xml:space="preserve">MDM-WIN-USERS-APP-7Zip</w:t>
      </w:r>
    </w:p>
    <w:p>
      <w:pPr>
        <w:spacing w:after="120"/>
      </w:pPr>
      <w:r>
        <w:rPr>
          <w:sz w:val="19"/>
          <w:szCs w:val="19"/>
        </w:rPr>
        <w:t xml:space="preserve">User group for the 7-Zip Windows application. App GUID f9c7335c-18d7-4b69-b8cc-79023265b5b7.</w:t>
      </w:r>
    </w:p>
    <w:p>
      <w:pPr>
        <w:pStyle w:val="Heading1"/>
        <w:spacing w:after="140" w:before="320"/>
      </w:pPr>
      <w:r>
        <w:rPr>
          <w:b/>
          <w:bCs/>
          <w:color w:val="1F4E79"/>
          <w:sz w:val="30"/>
          <w:szCs w:val="30"/>
        </w:rPr>
        <w:t xml:space="preserve">Sources and reference links</w:t>
      </w:r>
    </w:p>
    <w:p>
      <w:pPr>
        <w:spacing w:after="120"/>
      </w:pPr>
      <w:r>
        <w:rPr>
          <w:b/>
          <w:bCs/>
          <w:sz w:val="21"/>
          <w:szCs w:val="21"/>
        </w:rPr>
        <w:t xml:space="preserve">Microsoft official guidance:</w:t>
      </w:r>
    </w:p>
    <w:p>
      <w:pPr>
        <w:pStyle w:val="ListParagraph"/>
        <w:numPr>
          <w:ilvl w:val="0"/>
          <w:numId w:val="2"/>
        </w:numPr>
        <w:spacing w:after="60"/>
      </w:pPr>
      <w:r>
        <w:rPr>
          <w:sz w:val="21"/>
          <w:szCs w:val="21"/>
        </w:rPr>
        <w:t xml:space="preserve">Performance recommendations for grouping, targeting and filtering in large Intune environments.</w:t>
      </w:r>
    </w:p>
    <w:p>
      <w:pPr>
        <w:spacing w:after="40"/>
      </w:pPr>
      <w:r>
        <w:rPr>
          <w:rFonts w:ascii="Consolas" w:cs="Consolas" w:eastAsia="Consolas" w:hAnsi="Consolas"/>
          <w:color w:val="1F4E79"/>
          <w:sz w:val="19"/>
          <w:szCs w:val="19"/>
        </w:rPr>
        <w:t xml:space="preserve">https://learn.microsoft.com/en-us/intune/intune-service/fundamentals/filters-performance-recommendations</w:t>
      </w:r>
    </w:p>
    <w:p>
      <w:pPr>
        <w:pStyle w:val="ListParagraph"/>
        <w:numPr>
          <w:ilvl w:val="0"/>
          <w:numId w:val="2"/>
        </w:numPr>
        <w:spacing w:after="60"/>
      </w:pPr>
      <w:r>
        <w:rPr>
          <w:sz w:val="21"/>
          <w:szCs w:val="21"/>
        </w:rPr>
        <w:t xml:space="preserve">Create assignment filters in Microsoft Intune.</w:t>
      </w:r>
    </w:p>
    <w:p>
      <w:pPr>
        <w:spacing w:after="40"/>
      </w:pPr>
      <w:r>
        <w:rPr>
          <w:rFonts w:ascii="Consolas" w:cs="Consolas" w:eastAsia="Consolas" w:hAnsi="Consolas"/>
          <w:color w:val="1F4E79"/>
          <w:sz w:val="19"/>
          <w:szCs w:val="19"/>
        </w:rPr>
        <w:t xml:space="preserve">https://learn.microsoft.com/en-us/intune/fundamentals/filters/overview</w:t>
      </w:r>
    </w:p>
    <w:p>
      <w:pPr>
        <w:pStyle w:val="ListParagraph"/>
        <w:numPr>
          <w:ilvl w:val="0"/>
          <w:numId w:val="2"/>
        </w:numPr>
        <w:spacing w:after="60"/>
      </w:pPr>
      <w:r>
        <w:rPr>
          <w:sz w:val="21"/>
          <w:szCs w:val="21"/>
        </w:rPr>
        <w:t xml:space="preserve">Endpoint security policies overview and manage endpoint security policies.</w:t>
      </w:r>
    </w:p>
    <w:p>
      <w:pPr>
        <w:spacing w:after="40"/>
      </w:pPr>
      <w:r>
        <w:rPr>
          <w:rFonts w:ascii="Consolas" w:cs="Consolas" w:eastAsia="Consolas" w:hAnsi="Consolas"/>
          <w:color w:val="1F4E79"/>
          <w:sz w:val="19"/>
          <w:szCs w:val="19"/>
        </w:rPr>
        <w:t xml:space="preserve">https://learn.microsoft.com/en-us/intune/device-security/endpoint-security-policies</w:t>
      </w:r>
    </w:p>
    <w:p>
      <w:pPr>
        <w:pStyle w:val="ListParagraph"/>
        <w:numPr>
          <w:ilvl w:val="0"/>
          <w:numId w:val="2"/>
        </w:numPr>
        <w:spacing w:after="60"/>
      </w:pPr>
      <w:r>
        <w:rPr>
          <w:sz w:val="21"/>
          <w:szCs w:val="21"/>
        </w:rPr>
        <w:t xml:space="preserve">Protection and configuration levels overview.</w:t>
      </w:r>
    </w:p>
    <w:p>
      <w:pPr>
        <w:spacing w:after="40"/>
      </w:pPr>
      <w:r>
        <w:rPr>
          <w:rFonts w:ascii="Consolas" w:cs="Consolas" w:eastAsia="Consolas" w:hAnsi="Consolas"/>
          <w:color w:val="1F4E79"/>
          <w:sz w:val="19"/>
          <w:szCs w:val="19"/>
        </w:rPr>
        <w:t xml:space="preserve">https://learn.microsoft.com/en-us/intune/fundamentals/protection-configuration-levels</w:t>
      </w:r>
    </w:p>
    <w:p>
      <w:pPr>
        <w:spacing w:after="120"/>
      </w:pPr>
      <w:r>
        <w:rPr>
          <w:b/>
          <w:bCs/>
          <w:sz w:val="21"/>
          <w:szCs w:val="21"/>
        </w:rPr>
        <w:t xml:space="preserve">Community naming-convention references:</w:t>
      </w:r>
    </w:p>
    <w:p>
      <w:pPr>
        <w:pStyle w:val="ListParagraph"/>
        <w:numPr>
          <w:ilvl w:val="0"/>
          <w:numId w:val="2"/>
        </w:numPr>
        <w:spacing w:after="60"/>
      </w:pPr>
      <w:r>
        <w:rPr>
          <w:sz w:val="21"/>
          <w:szCs w:val="21"/>
        </w:rPr>
        <w:t xml:space="preserve">Mobile Mentor. Best practice resource naming conventions in Microsoft Intune. General-to-specific token order and version handling.</w:t>
      </w:r>
    </w:p>
    <w:p>
      <w:pPr>
        <w:spacing w:after="40"/>
      </w:pPr>
      <w:r>
        <w:rPr>
          <w:rFonts w:ascii="Consolas" w:cs="Consolas" w:eastAsia="Consolas" w:hAnsi="Consolas"/>
          <w:color w:val="1F4E79"/>
          <w:sz w:val="19"/>
          <w:szCs w:val="19"/>
        </w:rPr>
        <w:t xml:space="preserve">https://www.mobile-mentor.com/insights/best-practice-naming-conventions-in-microsoft-intune/</w:t>
      </w:r>
    </w:p>
    <w:p>
      <w:pPr>
        <w:pStyle w:val="ListParagraph"/>
        <w:numPr>
          <w:ilvl w:val="0"/>
          <w:numId w:val="2"/>
        </w:numPr>
        <w:spacing w:after="60"/>
      </w:pPr>
      <w:r>
        <w:rPr>
          <w:sz w:val="21"/>
          <w:szCs w:val="21"/>
        </w:rPr>
        <w:t xml:space="preserve">Wallo Blog. Intune naming convention, part 1, Entra. Group membership type and scope tokens.</w:t>
      </w:r>
    </w:p>
    <w:p>
      <w:pPr>
        <w:spacing w:after="40"/>
      </w:pPr>
      <w:r>
        <w:rPr>
          <w:rFonts w:ascii="Consolas" w:cs="Consolas" w:eastAsia="Consolas" w:hAnsi="Consolas"/>
          <w:color w:val="1F4E79"/>
          <w:sz w:val="19"/>
          <w:szCs w:val="19"/>
        </w:rPr>
        <w:t xml:space="preserve">https://wallo.pro/2025/01/23/my-take-on-intune-naming-convention-part-1-entra/</w:t>
      </w:r>
    </w:p>
    <w:p>
      <w:pPr>
        <w:pStyle w:val="ListParagraph"/>
        <w:numPr>
          <w:ilvl w:val="0"/>
          <w:numId w:val="2"/>
        </w:numPr>
        <w:spacing w:after="60"/>
      </w:pPr>
      <w:r>
        <w:rPr>
          <w:sz w:val="21"/>
          <w:szCs w:val="21"/>
        </w:rPr>
        <w:t xml:space="preserve">Cloud Engineer Lab. Enterprise naming standards. Documentation, audit and rename-in-batches guidance.</w:t>
      </w:r>
    </w:p>
    <w:p>
      <w:pPr>
        <w:spacing w:after="40"/>
      </w:pPr>
      <w:r>
        <w:rPr>
          <w:rFonts w:ascii="Consolas" w:cs="Consolas" w:eastAsia="Consolas" w:hAnsi="Consolas"/>
          <w:color w:val="1F4E79"/>
          <w:sz w:val="19"/>
          <w:szCs w:val="19"/>
        </w:rPr>
        <w:t xml:space="preserve">https://www.cloudengineerlab.com/blog/enterprise-naming-standards-intune-azure-ad-devices-groups-policies</w:t>
      </w:r>
    </w:p>
    <w:p>
      <w:pPr>
        <w:pStyle w:val="ListParagraph"/>
        <w:numPr>
          <w:ilvl w:val="0"/>
          <w:numId w:val="2"/>
        </w:numPr>
        <w:spacing w:after="60"/>
      </w:pPr>
      <w:r>
        <w:rPr>
          <w:sz w:val="21"/>
          <w:szCs w:val="21"/>
        </w:rPr>
        <w:t xml:space="preserve">scloud. Intune naming convention. Keeping app names simple and using the version field.</w:t>
      </w:r>
    </w:p>
    <w:p>
      <w:pPr>
        <w:spacing w:after="40"/>
      </w:pPr>
      <w:r>
        <w:rPr>
          <w:rFonts w:ascii="Consolas" w:cs="Consolas" w:eastAsia="Consolas" w:hAnsi="Consolas"/>
          <w:color w:val="1F4E79"/>
          <w:sz w:val="19"/>
          <w:szCs w:val="19"/>
        </w:rPr>
        <w:t xml:space="preserve">https://scloud.work/intune-naming-convention/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2026-07-09T20:12:32.291Z</dcterms:created>
  <dcterms:modified xsi:type="dcterms:W3CDTF">2026-07-09T20:12:32.291Z</dcterms:modified>
</cp:coreProperties>
</file>

<file path=docProps/custom.xml><?xml version="1.0" encoding="utf-8"?>
<Properties xmlns="http://schemas.openxmlformats.org/officeDocument/2006/custom-properties" xmlns:vt="http://schemas.openxmlformats.org/officeDocument/2006/docPropsVTypes"/>
</file>