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2F3E"/>
          <w:sz w:val="36"/>
        </w:rPr>
        <w:t>Notebook 04 — Exploratory Data Analysis</w:t>
      </w:r>
    </w:p>
    <w:p>
      <w:pPr>
        <w:jc w:val="center"/>
      </w:pPr>
      <w:r>
        <w:rPr>
          <w:color w:val="FF9900"/>
          <w:sz w:val="22"/>
        </w:rPr>
        <w:t>Amazon Last Mile Delivery Failure Prediction  |  Correlation One — DANA, Week 12  |  April 2026</w:t>
      </w:r>
    </w:p>
    <w:p/>
    <w:p>
      <w:pPr>
        <w:spacing w:after="200"/>
      </w:pPr>
      <w:r>
        <w:rPr>
          <w:sz w:val="22"/>
        </w:rPr>
        <w:t xml:space="preserve">Dataset: packages_validation.csv  |  3,559 packages across 15 Amazon delivery routes, </w:t>
      </w:r>
      <w:r>
        <w:rPr>
          <w:b/>
          <w:sz w:val="22"/>
        </w:rPr>
        <w:t>Los Angeles</w:t>
      </w:r>
      <w:r>
        <w:rPr>
          <w:sz w:val="22"/>
        </w:rPr>
        <w:t xml:space="preserve">, July 2018  |  Overall failure rate: </w:t>
      </w:r>
      <w:r>
        <w:rPr>
          <w:b/>
          <w:sz w:val="22"/>
        </w:rPr>
        <w:t>0.70%</w:t>
      </w:r>
      <w:r>
        <w:rPr>
          <w:sz w:val="22"/>
        </w:rPr>
        <w:t xml:space="preserve"> (25 failures)</w:t>
      </w:r>
    </w:p>
    <w:p>
      <w:pPr>
        <w:spacing w:before="240" w:after="80"/>
      </w:pPr>
      <w:r>
        <w:rPr>
          <w:b/>
          <w:color w:val="232F3E"/>
          <w:sz w:val="28"/>
        </w:rPr>
        <w:t>Step 1 — Setup &amp; Data Loading</w:t>
      </w:r>
    </w:p>
    <w:p>
      <w:pPr>
        <w:spacing w:after="200"/>
      </w:pPr>
      <w:r>
        <w:rPr>
          <w:sz w:val="22"/>
        </w:rPr>
        <w:t>Four libraries are used: pandas (data manipulation), sqlite3 (SQL analysis engine), matplotlib (visualization), and seaborn (statistical plots). The validation CSV is loaded and the canonical target column delivery_failure is derived from scan_status.</w:t>
      </w:r>
    </w:p>
    <w:p>
      <w:pPr>
        <w:spacing w:before="240" w:after="80"/>
      </w:pPr>
      <w:r>
        <w:rPr>
          <w:b/>
          <w:color w:val="232F3E"/>
          <w:sz w:val="28"/>
        </w:rPr>
        <w:t>Step 2 — Data Profiling</w:t>
      </w:r>
    </w:p>
    <w:p>
      <w:pPr>
        <w:spacing w:after="200"/>
      </w:pPr>
      <w:r>
        <w:rPr>
          <w:sz w:val="22"/>
        </w:rPr>
        <w:t>Data quality is audited across four dimensions before any analysis:</w:t>
      </w:r>
    </w:p>
    <w:p>
      <w:pPr>
        <w:pStyle w:val="ListBullet"/>
        <w:spacing w:after="40"/>
      </w:pPr>
      <w:r>
        <w:t>Null counts — 0 missing values across all columns: PASS</w:t>
      </w:r>
    </w:p>
    <w:p>
      <w:pPr>
        <w:pStyle w:val="ListBullet"/>
        <w:spacing w:after="40"/>
      </w:pPr>
      <w:r>
        <w:t>Duplicate check — 0 duplicate package_id rows: PASS</w:t>
      </w:r>
    </w:p>
    <w:p>
      <w:pPr>
        <w:pStyle w:val="ListBullet"/>
        <w:spacing w:after="40"/>
      </w:pPr>
      <w:r>
        <w:t>Value counts — all categorical columns verified (carrier: 4 values, shift: 3, package_type: 5, weather_risk: 1 [constant 'low'])</w:t>
      </w:r>
    </w:p>
    <w:p>
      <w:pPr>
        <w:pStyle w:val="ListBullet"/>
        <w:spacing w:after="40"/>
      </w:pPr>
      <w:r>
        <w:t>Numeric statistics — route_distance_km, packages_in_route, days_in_fc all within expected operational ranges</w:t>
      </w:r>
    </w:p>
    <w:p>
      <w:pPr>
        <w:spacing w:after="200"/>
      </w:pPr>
      <w:r>
        <w:rPr>
          <w:sz w:val="22"/>
        </w:rPr>
        <w:t>Zero-variance columns identified: weather_risk (constant = 'low') and days_in_fc (constant = 0) — both excluded from modeling to prevent spurious signal.</w:t>
      </w:r>
    </w:p>
    <w:p>
      <w:pPr>
        <w:spacing w:before="240" w:after="80"/>
      </w:pPr>
      <w:r>
        <w:rPr>
          <w:b/>
          <w:color w:val="232F3E"/>
          <w:sz w:val="28"/>
        </w:rPr>
        <w:t>Step 3 — Class Imbalance &amp; Metric Choice</w:t>
      </w:r>
    </w:p>
    <w:p>
      <w:pPr>
        <w:spacing w:after="200"/>
      </w:pPr>
      <w:r>
        <w:rPr>
          <w:sz w:val="22"/>
        </w:rPr>
        <w:t xml:space="preserve">The target delivery_failure is severely imbalanced: only </w:t>
      </w:r>
      <w:r>
        <w:rPr>
          <w:b/>
          <w:sz w:val="22"/>
        </w:rPr>
        <w:t>0.70%</w:t>
      </w:r>
      <w:r>
        <w:rPr>
          <w:sz w:val="22"/>
        </w:rPr>
        <w:t xml:space="preserve"> of packages fail (25 out of 3,559). A naive classifier that always predicts 'Delivered' achieves 99.30% accuracy while catching zero failures. This is operationally useless.</w:t>
      </w:r>
    </w:p>
    <w:p>
      <w:pPr>
        <w:spacing w:after="200"/>
      </w:pPr>
      <w:r>
        <w:rPr>
          <w:sz w:val="22"/>
        </w:rPr>
        <w:t>Metric choice: Recall is the primary metric — minimizing missed failures (False Negatives) is the operational objective. AUC-ROC is appropriate for threshold-independent model comparison across imbalance ratios.</w:t>
      </w:r>
    </w:p>
    <w:p>
      <w:pPr>
        <w:spacing w:before="240" w:after="80"/>
      </w:pPr>
      <w:r>
        <w:rPr>
          <w:b/>
          <w:color w:val="232F3E"/>
          <w:sz w:val="28"/>
        </w:rPr>
        <w:t>Step 4 — EDA with SQLite</w:t>
      </w:r>
    </w:p>
    <w:p>
      <w:pPr>
        <w:spacing w:after="200"/>
      </w:pPr>
      <w:r>
        <w:rPr>
          <w:sz w:val="22"/>
        </w:rPr>
        <w:t>The DataFrame is loaded into a SQLite in-memory database using pandas.to_sql(). This enables expressive GROUP BY queries to calculate conditional failure rates by carrier, shift, route distance, and package type. All analysis queries are shown below.</w:t>
      </w:r>
    </w:p>
    <w:p>
      <w:pPr>
        <w:spacing w:before="160" w:after="40"/>
      </w:pPr>
      <w:r>
        <w:rPr>
          <w:b/>
          <w:color w:val="232F3E"/>
          <w:sz w:val="24"/>
        </w:rPr>
        <w:t>Query 1 — Failure Rate by Carrier</w:t>
      </w:r>
    </w:p>
    <w:p>
      <w:pPr>
        <w:spacing w:after="200"/>
      </w:pPr>
      <w:r>
        <w:rPr>
          <w:sz w:val="22"/>
        </w:rPr>
        <w:t>Carrier identity is a structural predictor: different carriers have different driver training, equipment, route familiarity, and operational protocols for accessing secured buildings.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SELECT carrier,</w:t>
        <w:br/>
        <w:t xml:space="preserve">       COUNT(*) AS total_packages,</w:t>
        <w:br/>
        <w:t xml:space="preserve">       SUM(delivery_failure) AS failures,</w:t>
        <w:br/>
        <w:t xml:space="preserve">       ROUND(100.0 * SUM(delivery_failure) / COUNT(*), 2) </w:t>
        <w:br/>
        <w:t xml:space="preserve">       AS failure_rate_pct</w:t>
        <w:br/>
        <w:t>FROM packages</w:t>
        <w:br/>
        <w:t>GROUP BY carrier</w:t>
        <w:br/>
        <w:t>ORDER BY failure_rate_pct DESC;</w:t>
      </w:r>
    </w:p>
    <w:p>
      <w:pPr>
        <w:spacing w:after="200"/>
      </w:pPr>
      <w:r>
        <w:rPr>
          <w:sz w:val="22"/>
        </w:rPr>
        <w:t>Finding: carrier_D has the highest failure rate at 1.39% — roughly double the overall average. carrier_B has zero recorded failures across 412 packages in this extract. This carrier performance gap is a key operational lever.</w:t>
      </w:r>
    </w:p>
    <w:p>
      <w:pPr>
        <w:spacing w:before="160" w:after="40"/>
      </w:pPr>
      <w:r>
        <w:rPr>
          <w:b/>
          <w:color w:val="232F3E"/>
          <w:sz w:val="24"/>
        </w:rPr>
        <w:t>Query 2 — Failure Rate by Route Distance Bucket</w:t>
      </w:r>
    </w:p>
    <w:p>
      <w:pPr>
        <w:spacing w:after="200"/>
      </w:pPr>
      <w:r>
        <w:rPr>
          <w:sz w:val="22"/>
        </w:rPr>
        <w:t>Route distance is bucketed into three operationally meaningful ranges: &lt; 40 km (dense urban), 40–60 km (suburban/mixed), and &gt; 60 km (long-haul). The working hypothesis is that longer routes service less dense areas — but the data reveals the opposite.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SELECT </w:t>
        <w:br/>
        <w:t xml:space="preserve">    CASE </w:t>
        <w:br/>
        <w:t xml:space="preserve">        WHEN route_distance_km &lt; 40 THEN 'Under 40km'</w:t>
        <w:br/>
        <w:t xml:space="preserve">        WHEN route_distance_km BETWEEN 40 AND 60 THEN '40-60km'</w:t>
        <w:br/>
        <w:t xml:space="preserve">        ELSE 'Over 60km'</w:t>
        <w:br/>
        <w:t xml:space="preserve">    END AS distance_bucket,</w:t>
        <w:br/>
        <w:t xml:space="preserve">    COUNT(*) AS total_packages,</w:t>
        <w:br/>
        <w:t xml:space="preserve">    SUM(delivery_failure) AS failures,</w:t>
        <w:br/>
        <w:t xml:space="preserve">    ROUND(100.0 * SUM(delivery_failure) / COUNT(*), 2) </w:t>
        <w:br/>
        <w:t xml:space="preserve">    AS failure_rate_pct</w:t>
        <w:br/>
        <w:t>FROM packages</w:t>
        <w:br/>
        <w:t>GROUP BY distance_bucket</w:t>
        <w:br/>
        <w:t>ORDER BY failure_rate_pct DESC;</w:t>
      </w:r>
    </w:p>
    <w:p>
      <w:pPr>
        <w:spacing w:after="200"/>
      </w:pPr>
      <w:r>
        <w:rPr>
          <w:sz w:val="22"/>
        </w:rPr>
        <w:t>Finding: Routes &lt; 40 km fail at 1.89% — the highest of any bucket — while routes &gt; 60 km fail at 0.00%. This counterintuitive pattern is the central EDA finding.</w:t>
      </w:r>
    </w:p>
    <w:p>
      <w:pPr>
        <w:spacing w:before="160" w:after="40"/>
      </w:pPr>
      <w:r>
        <w:rPr>
          <w:b/>
          <w:color w:val="232F3E"/>
          <w:sz w:val="24"/>
        </w:rPr>
        <w:t>Additional Queries — Shift and Package Type</w:t>
      </w:r>
    </w:p>
    <w:p>
      <w:pPr>
        <w:spacing w:after="200"/>
      </w:pPr>
      <w:r>
        <w:rPr>
          <w:sz w:val="22"/>
        </w:rPr>
        <w:t>Similar GROUP BY queries were run for shift (morning: 1.37%, afternoon: 0.55%) and package_type (high_value packages showed elevated failure rates due to signature confirmation requirements).</w:t>
      </w:r>
    </w:p>
    <w:p>
      <w:pPr>
        <w:spacing w:before="240" w:after="80"/>
      </w:pPr>
      <w:r>
        <w:rPr>
          <w:b/>
          <w:color w:val="232F3E"/>
          <w:sz w:val="28"/>
        </w:rPr>
        <w:t>Step 5 — Discovery: The Urban Density Paradox</w:t>
      </w:r>
    </w:p>
    <w:p>
      <w:pPr>
        <w:spacing w:after="200"/>
      </w:pPr>
      <w:r>
        <w:rPr>
          <w:sz w:val="22"/>
        </w:rPr>
        <w:t xml:space="preserve">Our data surface a counter-intuitive reality: the shortest routes are our highest performance risk. While exurban routes over 60 km saw zero failures, routes under 40 km reached a 1.89% failure rate. This </w:t>
      </w:r>
      <w:r>
        <w:rPr>
          <w:b/>
          <w:sz w:val="22"/>
        </w:rPr>
        <w:t>Urban Density Paradox</w:t>
      </w:r>
      <w:r>
        <w:rPr>
          <w:sz w:val="22"/>
        </w:rPr>
        <w:t xml:space="preserve"> reframes the problem from distance to access.</w:t>
      </w:r>
    </w:p>
    <w:p>
      <w:pPr>
        <w:spacing w:after="200"/>
      </w:pPr>
      <w:r>
        <w:rPr>
          <w:sz w:val="22"/>
        </w:rPr>
        <w:t xml:space="preserve">Dense vertical urban neighborhoods in </w:t>
      </w:r>
      <w:r>
        <w:rPr>
          <w:b/>
          <w:sz w:val="22"/>
        </w:rPr>
        <w:t>Los Angeles</w:t>
      </w:r>
      <w:r>
        <w:rPr>
          <w:sz w:val="22"/>
        </w:rPr>
        <w:t xml:space="preserve"> present structural barriers — locked lobbies, intercom failures, and Amazon Locker congestion — that are not present in lower-density suburban routes. The risk is driven by infrastructure, not geography.</w:t>
      </w:r>
    </w:p>
    <w:p>
      <w:pPr>
        <w:spacing w:before="240" w:after="80"/>
      </w:pPr>
      <w:r>
        <w:rPr>
          <w:b/>
          <w:color w:val="232F3E"/>
          <w:sz w:val="28"/>
        </w:rPr>
        <w:t>Step 6 — Correlation Analysis</w:t>
      </w:r>
    </w:p>
    <w:p>
      <w:pPr>
        <w:spacing w:after="200"/>
      </w:pPr>
      <w:r>
        <w:rPr>
          <w:sz w:val="22"/>
        </w:rPr>
        <w:t>A Pearson correlation heatmap provides a linear view of feature relationships. Critical limitation with imbalanced targets: even strong predictors show small absolute Pearson correlations when the positive class is &lt;1% of records. Conditional GROUP BY failure rates (Step 4) are more reliable for feature evaluation in this context.</w:t>
      </w:r>
    </w:p>
    <w:p>
      <w:pPr>
        <w:spacing w:before="240" w:after="80"/>
      </w:pPr>
      <w:r>
        <w:rPr>
          <w:b/>
          <w:color w:val="232F3E"/>
          <w:sz w:val="28"/>
        </w:rPr>
        <w:t>Step 7 — Feature Importance Preview</w:t>
      </w:r>
    </w:p>
    <w:p>
      <w:pPr>
        <w:spacing w:after="200"/>
      </w:pPr>
      <w:r>
        <w:rPr>
          <w:sz w:val="22"/>
        </w:rPr>
        <w:t>Before fitting any model, feature importance is previewed using conditional failure rates — the probability of delivery_failure = 1 given a specific feature value. Top risk signals:</w:t>
      </w:r>
    </w:p>
    <w:p>
      <w:pPr>
        <w:pStyle w:val="ListBullet"/>
        <w:spacing w:after="40"/>
      </w:pPr>
      <w:r>
        <w:t>carrier_D: highest failure rate among carriers (~1.39%)</w:t>
      </w:r>
    </w:p>
    <w:p>
      <w:pPr>
        <w:pStyle w:val="ListBullet"/>
        <w:spacing w:after="40"/>
      </w:pPr>
      <w:r>
        <w:t>morning shift: highest shift-level failure rate (~1.37%)</w:t>
      </w:r>
    </w:p>
    <w:p>
      <w:pPr>
        <w:pStyle w:val="ListBullet"/>
        <w:spacing w:after="40"/>
      </w:pPr>
      <w:r>
        <w:t>route &lt; 40 km: highest distance bucket failure rate (~1.89%)</w:t>
      </w:r>
    </w:p>
    <w:p>
      <w:pPr>
        <w:pStyle w:val="ListBullet"/>
        <w:spacing w:after="40"/>
      </w:pPr>
      <w:r>
        <w:t>high_value package type: elevated failure rate due to access requirements</w:t>
      </w:r>
    </w:p>
    <w:p>
      <w:pPr>
        <w:pStyle w:val="ListBullet"/>
        <w:spacing w:after="40"/>
      </w:pPr>
      <w:r>
        <w:t>short_service_time flag: when triggered, elevated failure signal (locker/dense-urban stops)</w:t>
      </w:r>
    </w:p>
    <w:p>
      <w:pPr>
        <w:pStyle w:val="ListBullet"/>
        <w:spacing w:after="40"/>
      </w:pPr>
      <w:r>
        <w:t>double_scan flag: scan errors correlate with downstream delivery failures</w:t>
      </w:r>
    </w:p>
    <w:p>
      <w:pPr>
        <w:spacing w:before="240" w:after="80"/>
      </w:pPr>
      <w:r>
        <w:rPr>
          <w:b/>
          <w:color w:val="232F3E"/>
          <w:sz w:val="28"/>
        </w:rPr>
        <w:t>Step 8 — Summary of Findings</w:t>
      </w:r>
    </w:p>
    <w:p>
      <w:pPr>
        <w:spacing w:before="160" w:after="40"/>
      </w:pPr>
      <w:r>
        <w:rPr>
          <w:b/>
          <w:color w:val="232F3E"/>
          <w:sz w:val="24"/>
        </w:rPr>
        <w:t>Dataset Overview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Source                 Amazon Last Mile Routing Research Challenge (ALMRRC 2021)</w:t>
        <w:br/>
        <w:t>Rows                   3,559 packages</w:t>
        <w:br/>
        <w:t>Routes                 15 delivery routes, Los Angeles, July 2018</w:t>
        <w:br/>
        <w:t>Failures               25 packages → 0.70% overall failure rate</w:t>
        <w:br/>
        <w:t>Nulls                  0 missing values</w:t>
        <w:br/>
        <w:t>Duplicates             0 duplicate package_id rows</w:t>
        <w:br/>
        <w:t>Zero-variance cols     weather_risk (constant='low'), days_in_fc (constant=0) — excluded</w:t>
        <w:br/>
        <w:t>Target column          delivery_failed — renamed from damaged_on_arrival; leakage fixed</w:t>
      </w:r>
    </w:p>
    <w:p>
      <w:pPr>
        <w:spacing w:before="160" w:after="40"/>
      </w:pPr>
      <w:r>
        <w:rPr>
          <w:b/>
          <w:color w:val="232F3E"/>
          <w:sz w:val="24"/>
        </w:rPr>
        <w:t>Key Findings by Feature</w:t>
      </w:r>
    </w:p>
    <w:p>
      <w:pPr>
        <w:pStyle w:val="ListBullet"/>
        <w:spacing w:after="80"/>
      </w:pPr>
      <w:r>
        <w:t>1. Carrier Performance: carrier_D 1.39% (highest, ~2× average), carrier_B 0.00% (zero failures)</w:t>
      </w:r>
    </w:p>
    <w:p>
      <w:pPr>
        <w:pStyle w:val="ListBullet"/>
        <w:spacing w:after="80"/>
      </w:pPr>
      <w:r>
        <w:t>2. Shift Performance: Morning 1.37% (residents commuting, locked lobbies), Afternoon 0.55%</w:t>
      </w:r>
    </w:p>
    <w:p>
      <w:pPr>
        <w:pStyle w:val="ListBullet"/>
        <w:spacing w:after="80"/>
      </w:pPr>
      <w:r>
        <w:t>3. Route Distance: &lt; 40 km → 1.89% (urban density paradox), &gt; 60 km → 0.00%</w:t>
      </w:r>
    </w:p>
    <w:p>
      <w:pPr>
        <w:pStyle w:val="ListBullet"/>
        <w:spacing w:after="80"/>
      </w:pPr>
      <w:r>
        <w:t>4. Accuracy is misleading — a constant 'Delivered' predictor achieves 99.30% accuracy while catching zero failures. Recall is the correct primary metric.</w:t>
      </w:r>
    </w:p>
    <w:p>
      <w:pPr>
        <w:spacing w:before="160" w:after="40"/>
      </w:pPr>
      <w:r>
        <w:rPr>
          <w:b/>
          <w:color w:val="232F3E"/>
          <w:sz w:val="24"/>
        </w:rPr>
        <w:t>Modeling Implications</w:t>
      </w:r>
    </w:p>
    <w:p>
      <w:pPr>
        <w:pStyle w:val="ListBullet"/>
        <w:spacing w:after="40"/>
      </w:pPr>
      <w:r>
        <w:t>Extreme class imbalance (~140:1) requires SMOTE oversampling, class weighting, or threshold tuning</w:t>
      </w:r>
    </w:p>
    <w:p>
      <w:pPr>
        <w:pStyle w:val="ListBullet"/>
        <w:spacing w:after="40"/>
      </w:pPr>
      <w:r>
        <w:t>Drop before encoding: weather_risk, days_in_fc (zero variance), delivery_failed (is the target)</w:t>
      </w:r>
    </w:p>
    <w:p>
      <w:pPr>
        <w:pStyle w:val="ListBullet"/>
        <w:spacing w:after="40"/>
      </w:pPr>
      <w:r>
        <w:t>Top structural predictors: carrier, shift, and route_distance_km (bucketed)</w:t>
      </w:r>
    </w:p>
    <w:p>
      <w:pPr>
        <w:pStyle w:val="ListBullet"/>
        <w:spacing w:after="40"/>
      </w:pPr>
      <w:r>
        <w:t>Binary flags (short_service_time, double_scan) are rare but high-signal events when triggered</w:t>
      </w:r>
    </w:p>
    <w:p>
      <w:pPr>
        <w:pStyle w:val="ListBullet"/>
        <w:spacing w:after="40"/>
      </w:pPr>
      <w:r>
        <w:t>Low inter-feature correlation — no multicollinearity concerns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